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7"/>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197"/>
        <w:ind w:firstLine="300"/>
        <w:spacing w:line="360" w:lineRule="auto"/>
        <w:rPr>
          <w:sz w:val="60"/>
          <w:szCs w:val="60"/>
        </w:rPr>
      </w:pPr>
      <w:r>
        <w:rPr>
          <w:sz w:val="60"/>
          <w:szCs w:val="60"/>
        </w:rPr>
      </w:r>
      <w:r/>
    </w:p>
    <w:p>
      <w:pPr>
        <w:pStyle w:val="1197"/>
        <w:jc w:val="center"/>
        <w:rPr>
          <w:rFonts w:hint="eastAsia"/>
          <w:b/>
          <w:bCs/>
          <w:color w:val="000000"/>
          <w:sz w:val="72"/>
          <w:szCs w:val="72"/>
        </w:rPr>
      </w:pPr>
      <w:r>
        <w:rPr>
          <w:rFonts w:hint="eastAsia"/>
          <w:b/>
          <w:bCs/>
          <w:color w:val="000000"/>
          <w:sz w:val="72"/>
          <w:szCs w:val="72"/>
        </w:rPr>
      </w:r>
      <w:r/>
    </w:p>
    <w:p>
      <w:pPr>
        <w:pStyle w:val="1197"/>
        <w:jc w:val="center"/>
        <w:rPr>
          <w:b/>
          <w:bCs/>
          <w:color w:val="000000"/>
          <w:sz w:val="72"/>
          <w:szCs w:val="72"/>
        </w:rPr>
      </w:pPr>
      <w:r>
        <w:rPr>
          <w:rFonts w:hint="eastAsia"/>
          <w:b/>
          <w:bCs/>
          <w:color w:val="000000"/>
          <w:sz w:val="72"/>
          <w:szCs w:val="72"/>
          <w:lang w:eastAsia="zh-CN"/>
        </w:rPr>
        <w:t xml:space="preserve">工舍路（兰陵北路-清南桥）道路清扫保洁作业服务项目</w:t>
      </w:r>
      <w:r>
        <w:rPr>
          <w:b/>
          <w:bCs/>
          <w:color w:val="000000"/>
          <w:sz w:val="72"/>
          <w:szCs w:val="72"/>
        </w:rPr>
      </w:r>
      <w:r/>
    </w:p>
    <w:p>
      <w:pPr>
        <w:pStyle w:val="1197"/>
        <w:jc w:val="center"/>
        <w:rPr>
          <w:b/>
          <w:bCs/>
          <w:color w:val="000000"/>
          <w:sz w:val="72"/>
          <w:szCs w:val="72"/>
        </w:rPr>
      </w:pPr>
      <w:r>
        <w:rPr>
          <w:b/>
          <w:bCs/>
          <w:color w:val="000000"/>
          <w:sz w:val="72"/>
          <w:szCs w:val="72"/>
        </w:rPr>
      </w:r>
      <w:r/>
    </w:p>
    <w:p>
      <w:pPr>
        <w:pStyle w:val="1197"/>
        <w:jc w:val="center"/>
        <w:rPr>
          <w:b/>
          <w:bCs/>
          <w:color w:val="000000"/>
          <w:sz w:val="72"/>
          <w:szCs w:val="72"/>
        </w:rPr>
      </w:pPr>
      <w:r>
        <w:rPr>
          <w:b/>
          <w:bCs/>
          <w:color w:val="000000"/>
          <w:sz w:val="72"/>
          <w:szCs w:val="72"/>
        </w:rPr>
        <w:t xml:space="preserve">竞争性磋商文件</w:t>
      </w:r>
      <w:r>
        <w:rPr>
          <w:b/>
          <w:bCs/>
          <w:color w:val="000000"/>
          <w:sz w:val="72"/>
          <w:szCs w:val="72"/>
        </w:rPr>
      </w:r>
      <w:r/>
    </w:p>
    <w:p>
      <w:pPr>
        <w:pStyle w:val="1197"/>
        <w:ind w:left="2832" w:hanging="1900"/>
        <w:jc w:val="left"/>
        <w:spacing w:line="360" w:lineRule="auto"/>
        <w:tabs>
          <w:tab w:val="left" w:pos="5609" w:leader="none"/>
        </w:tabs>
        <w:rPr>
          <w:bCs/>
          <w:color w:val="000000"/>
          <w:sz w:val="36"/>
          <w:szCs w:val="36"/>
        </w:rPr>
      </w:pPr>
      <w:r>
        <w:rPr>
          <w:bCs/>
          <w:color w:val="000000"/>
          <w:sz w:val="36"/>
          <w:szCs w:val="36"/>
        </w:rPr>
      </w:r>
      <w:r/>
    </w:p>
    <w:p>
      <w:pPr>
        <w:pStyle w:val="1197"/>
        <w:ind w:left="2832" w:hanging="1900"/>
        <w:jc w:val="left"/>
        <w:spacing w:line="360" w:lineRule="auto"/>
        <w:tabs>
          <w:tab w:val="left" w:pos="5609" w:leader="none"/>
        </w:tabs>
        <w:rPr>
          <w:bCs/>
          <w:color w:val="000000"/>
          <w:sz w:val="36"/>
          <w:szCs w:val="36"/>
        </w:rPr>
      </w:pPr>
      <w:r>
        <w:rPr>
          <w:bCs/>
          <w:color w:val="000000"/>
          <w:sz w:val="36"/>
          <w:szCs w:val="36"/>
        </w:rPr>
      </w:r>
      <w:r/>
    </w:p>
    <w:p>
      <w:pPr>
        <w:pStyle w:val="1197"/>
        <w:ind w:left="2832" w:hanging="1900"/>
        <w:jc w:val="left"/>
        <w:spacing w:line="360" w:lineRule="auto"/>
        <w:tabs>
          <w:tab w:val="left" w:pos="5609" w:leader="none"/>
        </w:tabs>
        <w:rPr>
          <w:bCs/>
          <w:color w:val="000000"/>
          <w:sz w:val="36"/>
          <w:szCs w:val="36"/>
        </w:rPr>
      </w:pPr>
      <w:r>
        <w:rPr>
          <w:bCs/>
          <w:color w:val="000000"/>
          <w:sz w:val="36"/>
          <w:szCs w:val="36"/>
        </w:rPr>
      </w:r>
      <w:r/>
    </w:p>
    <w:p>
      <w:pPr>
        <w:pStyle w:val="1197"/>
        <w:jc w:val="left"/>
        <w:spacing w:line="360" w:lineRule="auto"/>
        <w:tabs>
          <w:tab w:val="left" w:pos="5609" w:leader="none"/>
        </w:tabs>
        <w:rPr>
          <w:bCs/>
          <w:color w:val="000000"/>
          <w:sz w:val="32"/>
          <w:szCs w:val="32"/>
        </w:rPr>
      </w:pPr>
      <w:r>
        <w:rPr>
          <w:bCs/>
          <w:color w:val="000000"/>
          <w:sz w:val="32"/>
          <w:szCs w:val="32"/>
        </w:rPr>
      </w:r>
      <w:r/>
    </w:p>
    <w:p>
      <w:pPr>
        <w:pStyle w:val="1231"/>
        <w:rPr>
          <w:bCs/>
          <w:color w:val="000000"/>
          <w:sz w:val="32"/>
          <w:szCs w:val="32"/>
          <w:highlight w:val="none"/>
        </w:rPr>
      </w:pPr>
      <w:r>
        <w:rPr>
          <w:bCs/>
          <w:color w:val="000000"/>
          <w:sz w:val="32"/>
          <w:szCs w:val="32"/>
          <w:highlight w:val="none"/>
        </w:rPr>
      </w:r>
      <w:r/>
    </w:p>
    <w:p>
      <w:pPr>
        <w:pStyle w:val="1197"/>
        <w:rPr>
          <w:color w:val="000000"/>
          <w:highlight w:val="none"/>
        </w:rPr>
      </w:pPr>
      <w:r>
        <w:rPr>
          <w:color w:val="000000"/>
          <w:highlight w:val="none"/>
        </w:rPr>
      </w:r>
      <w:r/>
    </w:p>
    <w:p>
      <w:pPr>
        <w:pStyle w:val="1197"/>
        <w:ind w:firstLine="1124"/>
        <w:jc w:val="both"/>
        <w:spacing w:line="480" w:lineRule="auto"/>
        <w:tabs>
          <w:tab w:val="left" w:pos="5609" w:leader="none"/>
        </w:tabs>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1197"/>
        <w:ind w:firstLine="0"/>
        <w:jc w:val="both"/>
        <w:spacing w:line="480" w:lineRule="auto"/>
        <w:tabs>
          <w:tab w:val="left" w:pos="5609" w:leader="none"/>
        </w:tabs>
        <w:rPr>
          <w:rFonts w:hint="eastAsia" w:ascii="宋体" w:hAnsi="宋体" w:eastAsia="宋体" w:cs="宋体"/>
          <w:b/>
          <w:bCs w:val="0"/>
          <w:color w:val="000000"/>
          <w:sz w:val="28"/>
          <w:szCs w:val="28"/>
          <w:highlight w:val="none"/>
          <w:u w:val="single"/>
          <w:lang w:eastAsia="zh-CN"/>
        </w:rPr>
      </w:pPr>
      <w:r>
        <w:rPr>
          <w:rFonts w:hint="eastAsia" w:ascii="宋体" w:hAnsi="宋体" w:eastAsia="宋体" w:cs="宋体"/>
          <w:b/>
          <w:bCs w:val="0"/>
          <w:color w:val="000000"/>
          <w:sz w:val="28"/>
          <w:szCs w:val="28"/>
          <w:highlight w:val="none"/>
        </w:rPr>
        <w:t xml:space="preserve">    项目名称：</w:t>
      </w:r>
      <w:r>
        <w:rPr>
          <w:rFonts w:hint="eastAsia" w:ascii="宋体" w:hAnsi="宋体" w:eastAsia="宋体" w:cs="宋体"/>
          <w:b/>
          <w:bCs w:val="0"/>
          <w:color w:val="000000"/>
          <w:sz w:val="28"/>
          <w:szCs w:val="28"/>
          <w:highlight w:val="none"/>
          <w:u w:val="single"/>
          <w:lang w:eastAsia="zh-CN"/>
        </w:rPr>
        <w:t xml:space="preserve">工舍路（兰陵北路-清南桥）道路清扫保洁作业服务项目</w:t>
      </w:r>
      <w:r>
        <w:rPr>
          <w:rFonts w:hint="eastAsia" w:ascii="宋体" w:hAnsi="宋体" w:eastAsia="宋体" w:cs="宋体"/>
          <w:b/>
          <w:bCs w:val="0"/>
          <w:color w:val="000000"/>
          <w:sz w:val="28"/>
          <w:szCs w:val="28"/>
          <w:highlight w:val="none"/>
          <w:u w:val="single"/>
          <w:lang w:eastAsia="zh-CN"/>
        </w:rPr>
      </w:r>
      <w:r/>
    </w:p>
    <w:p>
      <w:pPr>
        <w:pStyle w:val="1197"/>
        <w:ind w:firstLine="0"/>
        <w:jc w:val="both"/>
        <w:spacing w:line="480" w:lineRule="auto"/>
        <w:tabs>
          <w:tab w:val="left" w:pos="5609" w:leader="none"/>
        </w:tabs>
        <w:rPr>
          <w:rFonts w:ascii="宋体" w:hAnsi="宋体" w:eastAsia="宋体" w:cs="宋体"/>
          <w:b/>
          <w:bCs w:val="0"/>
          <w:color w:val="000000"/>
          <w:sz w:val="28"/>
          <w:szCs w:val="28"/>
          <w:highlight w:val="none"/>
          <w:u w:val="single"/>
          <w:lang w:val="en-US" w:eastAsia="zh-CN"/>
        </w:rPr>
      </w:pPr>
      <w:r>
        <w:rPr>
          <w:rFonts w:hint="eastAsia" w:ascii="宋体" w:hAnsi="宋体" w:eastAsia="宋体" w:cs="宋体"/>
          <w:b/>
          <w:bCs w:val="0"/>
          <w:color w:val="000000"/>
          <w:sz w:val="28"/>
          <w:szCs w:val="28"/>
          <w:highlight w:val="none"/>
        </w:rPr>
        <w:t xml:space="preserve">    项目编号：</w:t>
      </w:r>
      <w:r>
        <w:rPr>
          <w:rFonts w:hint="eastAsia" w:ascii="宋体" w:hAnsi="宋体" w:eastAsia="宋体" w:cs="宋体"/>
          <w:b/>
          <w:bCs w:val="0"/>
          <w:color w:val="000000"/>
          <w:sz w:val="28"/>
          <w:szCs w:val="28"/>
          <w:highlight w:val="none"/>
          <w:u w:val="single"/>
          <w:lang w:val="en-US" w:eastAsia="zh-CN"/>
        </w:rPr>
        <w:t xml:space="preserve">JSZC-320402-CZYJ-C2025-0018</w:t>
      </w:r>
      <w:r>
        <w:rPr>
          <w:rFonts w:ascii="宋体" w:hAnsi="宋体" w:eastAsia="宋体" w:cs="宋体"/>
          <w:b/>
          <w:bCs w:val="0"/>
          <w:color w:val="000000"/>
          <w:sz w:val="28"/>
          <w:szCs w:val="28"/>
          <w:highlight w:val="none"/>
          <w:u w:val="single"/>
          <w:lang w:val="en-US" w:eastAsia="zh-CN"/>
        </w:rPr>
      </w:r>
      <w:r/>
    </w:p>
    <w:p>
      <w:pPr>
        <w:pStyle w:val="1197"/>
        <w:ind w:firstLine="0"/>
        <w:jc w:val="both"/>
        <w:spacing w:line="480" w:lineRule="auto"/>
        <w:tabs>
          <w:tab w:val="left" w:pos="3240" w:leader="none"/>
          <w:tab w:val="left" w:pos="3420"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    采 购 人：</w:t>
      </w:r>
      <w:r>
        <w:rPr>
          <w:rFonts w:hint="eastAsia" w:ascii="宋体" w:hAnsi="宋体" w:eastAsia="宋体" w:cs="宋体"/>
          <w:b/>
          <w:bCs w:val="0"/>
          <w:color w:val="000000"/>
          <w:sz w:val="28"/>
          <w:szCs w:val="28"/>
          <w:highlight w:val="none"/>
          <w:u w:val="single"/>
          <w:lang w:eastAsia="zh-CN"/>
        </w:rPr>
        <w:t xml:space="preserve">常州市天宁区兰陵街道办事处</w:t>
      </w:r>
      <w:r>
        <w:rPr>
          <w:rFonts w:hint="eastAsia" w:ascii="宋体" w:hAnsi="宋体" w:eastAsia="宋体" w:cs="宋体"/>
          <w:b/>
          <w:bCs w:val="0"/>
          <w:color w:val="000000"/>
          <w:sz w:val="28"/>
          <w:szCs w:val="28"/>
          <w:highlight w:val="none"/>
          <w:lang w:eastAsia="zh-CN"/>
        </w:rPr>
      </w:r>
      <w:r/>
    </w:p>
    <w:p>
      <w:pPr>
        <w:pStyle w:val="1197"/>
        <w:ind w:firstLine="0"/>
        <w:jc w:val="both"/>
        <w:spacing w:line="480" w:lineRule="auto"/>
        <w:tabs>
          <w:tab w:val="left" w:pos="3240" w:leader="none"/>
          <w:tab w:val="left" w:pos="3420"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    采购代理机构：</w:t>
      </w:r>
      <w:r>
        <w:rPr>
          <w:rFonts w:hint="eastAsia" w:ascii="宋体" w:hAnsi="宋体" w:eastAsia="宋体" w:cs="宋体"/>
          <w:b/>
          <w:bCs w:val="0"/>
          <w:color w:val="000000"/>
          <w:sz w:val="28"/>
          <w:szCs w:val="28"/>
          <w:highlight w:val="none"/>
          <w:u w:val="single"/>
          <w:lang w:eastAsia="zh-CN"/>
        </w:rPr>
        <w:t xml:space="preserve">常州市阳峻项目管理有限公司</w:t>
      </w:r>
      <w:r>
        <w:rPr>
          <w:rFonts w:hint="eastAsia" w:ascii="宋体" w:hAnsi="宋体" w:eastAsia="宋体" w:cs="宋体"/>
          <w:b/>
          <w:bCs w:val="0"/>
          <w:color w:val="000000"/>
          <w:sz w:val="28"/>
          <w:szCs w:val="28"/>
          <w:highlight w:val="none"/>
          <w:lang w:eastAsia="zh-CN"/>
        </w:rPr>
      </w:r>
      <w:r/>
    </w:p>
    <w:p>
      <w:pPr>
        <w:pStyle w:val="1197"/>
        <w:jc w:val="left"/>
        <w:widowControl/>
        <w:rPr>
          <w:color w:val="000000"/>
          <w:sz w:val="24"/>
        </w:rPr>
      </w:pPr>
      <w:r>
        <w:rPr>
          <w:color w:val="000000"/>
          <w:sz w:val="24"/>
        </w:rPr>
      </w:r>
      <w:r/>
    </w:p>
    <w:p>
      <w:pPr>
        <w:pStyle w:val="1197"/>
        <w:jc w:val="both"/>
        <w:spacing w:line="360" w:lineRule="auto"/>
        <w:rPr>
          <w:rFonts w:hint="eastAsia"/>
          <w:b/>
          <w:color w:val="000000"/>
          <w:sz w:val="32"/>
          <w:szCs w:val="32"/>
        </w:rPr>
        <w:outlineLvl w:val="0"/>
      </w:pPr>
      <w:r/>
      <w:bookmarkStart w:id="0" w:name="_Toc104818924"/>
      <w:r>
        <w:rPr>
          <w:rFonts w:hint="eastAsia"/>
          <w:b/>
          <w:color w:val="000000"/>
          <w:sz w:val="32"/>
          <w:szCs w:val="32"/>
        </w:rPr>
      </w:r>
      <w:r/>
    </w:p>
    <w:p>
      <w:pPr>
        <w:pStyle w:val="1200"/>
        <w:rPr>
          <w:rFonts w:hint="eastAsia"/>
        </w:rPr>
      </w:pPr>
      <w:r>
        <w:rPr>
          <w:rFonts w:hint="eastAsia"/>
        </w:rPr>
      </w:r>
      <w:r/>
    </w:p>
    <w:p>
      <w:pPr>
        <w:pStyle w:val="1229"/>
        <w:tabs>
          <w:tab w:val="left" w:pos="567" w:leader="none"/>
        </w:tabs>
        <w:rPr>
          <w:rFonts w:hint="eastAsia"/>
          <w:color w:val="000000"/>
        </w:rPr>
      </w:pPr>
      <w:r>
        <w:rPr>
          <w:rFonts w:hint="eastAsia"/>
          <w:color w:val="000000"/>
        </w:rPr>
      </w:r>
      <w:r/>
    </w:p>
    <w:p>
      <w:pPr>
        <w:pStyle w:val="1197"/>
        <w:jc w:val="center"/>
        <w:spacing w:line="360" w:lineRule="auto"/>
        <w:rPr>
          <w:b/>
          <w:color w:val="000000"/>
          <w:sz w:val="32"/>
          <w:szCs w:val="32"/>
        </w:rPr>
        <w:outlineLvl w:val="0"/>
      </w:pPr>
      <w:r>
        <w:rPr>
          <w:rFonts w:hint="eastAsia"/>
          <w:b/>
          <w:color w:val="000000"/>
          <w:sz w:val="32"/>
          <w:szCs w:val="32"/>
        </w:rPr>
        <w:t xml:space="preserve">目</w:t>
      </w:r>
      <w:r>
        <w:rPr>
          <w:b/>
          <w:color w:val="000000"/>
          <w:sz w:val="32"/>
          <w:szCs w:val="32"/>
        </w:rPr>
        <w:t xml:space="preserve">      </w:t>
      </w:r>
      <w:r>
        <w:rPr>
          <w:rFonts w:hint="eastAsia"/>
          <w:b/>
          <w:color w:val="000000"/>
          <w:sz w:val="32"/>
          <w:szCs w:val="32"/>
        </w:rPr>
        <w:t xml:space="preserve">录</w:t>
      </w:r>
      <w:bookmarkEnd w:id="0"/>
      <w:r>
        <w:rPr>
          <w:b/>
          <w:color w:val="000000"/>
          <w:sz w:val="32"/>
          <w:szCs w:val="32"/>
        </w:rPr>
      </w:r>
      <w:r/>
    </w:p>
    <w:p>
      <w:pPr>
        <w:pStyle w:val="1197"/>
        <w:rPr>
          <w:color w:val="000000"/>
        </w:rPr>
      </w:pPr>
      <w:r>
        <w:rPr>
          <w:color w:val="000000"/>
        </w:rPr>
      </w:r>
      <w:r/>
    </w:p>
    <w:p>
      <w:pPr>
        <w:pStyle w:val="1197"/>
        <w:rPr>
          <w:color w:val="000000"/>
        </w:rPr>
      </w:pPr>
      <w:r>
        <w:rPr>
          <w:color w:val="000000"/>
        </w:rPr>
      </w:r>
      <w:r/>
    </w:p>
    <w:p>
      <w:pPr>
        <w:pStyle w:val="1197"/>
        <w:rPr>
          <w:color w:val="000000"/>
        </w:rPr>
      </w:pPr>
      <w:r>
        <w:rPr>
          <w:color w:val="000000"/>
        </w:rPr>
      </w:r>
      <w:r/>
    </w:p>
    <w:p>
      <w:pPr>
        <w:pStyle w:val="1197"/>
        <w:rPr>
          <w:color w:val="000000"/>
        </w:rPr>
      </w:pPr>
      <w:r>
        <w:rPr>
          <w:color w:val="000000"/>
        </w:rPr>
      </w:r>
      <w:r/>
    </w:p>
    <w:p>
      <w:pPr>
        <w:pStyle w:val="1250"/>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250"/>
        <w:spacing w:line="480" w:lineRule="auto"/>
        <w:tabs>
          <w:tab w:val="left" w:pos="1050" w:leader="none"/>
          <w:tab w:val="right" w:pos="8937" w:leader="dot"/>
        </w:tabs>
        <w:rPr>
          <w:rFonts w:hint="eastAsia" w:ascii="Calibri" w:hAnsi="Calibri" w:eastAsia="宋体"/>
          <w:b w:val="0"/>
          <w:sz w:val="28"/>
          <w:szCs w:val="28"/>
          <w:lang w:val="en-US" w:eastAsia="zh-CN"/>
        </w:rPr>
      </w:pPr>
      <w:r>
        <w:rPr>
          <w:rStyle w:val="1275"/>
          <w:sz w:val="28"/>
          <w:szCs w:val="28"/>
        </w:rPr>
        <w:fldChar w:fldCharType="begin"/>
      </w:r>
      <w:r>
        <w:rPr>
          <w:rStyle w:val="1275"/>
          <w:sz w:val="28"/>
          <w:szCs w:val="28"/>
        </w:rPr>
        <w:instrText xml:space="preserve"> </w:instrText>
      </w:r>
      <w:r>
        <w:rPr>
          <w:sz w:val="28"/>
          <w:szCs w:val="28"/>
        </w:rPr>
        <w:instrText xml:space="preserve">HYPERLINK \l "_Toc104818925"</w:instrText>
      </w:r>
      <w:r>
        <w:rPr>
          <w:rStyle w:val="1275"/>
          <w:sz w:val="28"/>
          <w:szCs w:val="28"/>
        </w:rPr>
        <w:instrText xml:space="preserve"> </w:instrText>
      </w:r>
      <w:r>
        <w:rPr>
          <w:rStyle w:val="1275"/>
          <w:sz w:val="28"/>
          <w:szCs w:val="28"/>
        </w:rPr>
        <w:fldChar w:fldCharType="separate"/>
      </w:r>
      <w:r>
        <w:rPr>
          <w:rStyle w:val="1275"/>
          <w:rFonts w:hint="eastAsia"/>
          <w:sz w:val="28"/>
          <w:szCs w:val="28"/>
        </w:rPr>
        <w:t xml:space="preserve">第一章</w:t>
      </w:r>
      <w:r>
        <w:rPr>
          <w:rStyle w:val="1275"/>
          <w:sz w:val="28"/>
          <w:szCs w:val="28"/>
        </w:rPr>
        <w:t xml:space="preserve">   </w:t>
      </w:r>
      <w:r>
        <w:rPr>
          <w:rStyle w:val="1275"/>
          <w:rFonts w:hint="eastAsia"/>
          <w:sz w:val="28"/>
          <w:szCs w:val="28"/>
        </w:rPr>
        <w:t xml:space="preserve">采购邀请</w:t>
      </w:r>
      <w:r>
        <w:rPr>
          <w:sz w:val="28"/>
          <w:szCs w:val="28"/>
        </w:rPr>
        <w:tab/>
      </w:r>
      <w:r>
        <w:rPr>
          <w:rStyle w:val="1275"/>
          <w:sz w:val="28"/>
          <w:szCs w:val="28"/>
        </w:rPr>
        <w:fldChar w:fldCharType="end"/>
      </w:r>
      <w:r>
        <w:rPr>
          <w:rStyle w:val="1275"/>
          <w:rFonts w:hint="eastAsia"/>
          <w:sz w:val="28"/>
          <w:szCs w:val="28"/>
          <w:lang w:val="en-US" w:eastAsia="zh-CN"/>
        </w:rPr>
        <w:t xml:space="preserve">1</w:t>
      </w:r>
      <w:r>
        <w:rPr>
          <w:rFonts w:hint="eastAsia" w:ascii="Calibri" w:hAnsi="Calibri" w:eastAsia="宋体"/>
          <w:b w:val="0"/>
          <w:sz w:val="28"/>
          <w:szCs w:val="28"/>
          <w:lang w:val="en-US" w:eastAsia="zh-CN"/>
        </w:rPr>
      </w:r>
      <w:r/>
    </w:p>
    <w:p>
      <w:pPr>
        <w:pStyle w:val="1250"/>
        <w:spacing w:line="480" w:lineRule="auto"/>
        <w:tabs>
          <w:tab w:val="left" w:pos="1050" w:leader="none"/>
          <w:tab w:val="right" w:pos="8937" w:leader="dot"/>
        </w:tabs>
        <w:rPr>
          <w:rFonts w:hint="eastAsia" w:ascii="Calibri" w:hAnsi="Calibri" w:eastAsia="宋体"/>
          <w:b w:val="0"/>
          <w:sz w:val="28"/>
          <w:szCs w:val="28"/>
          <w:lang w:val="en-US" w:eastAsia="zh-CN"/>
        </w:rPr>
      </w:pPr>
      <w:r>
        <w:rPr>
          <w:rStyle w:val="1275"/>
          <w:sz w:val="28"/>
          <w:szCs w:val="28"/>
        </w:rPr>
        <w:fldChar w:fldCharType="begin"/>
      </w:r>
      <w:r>
        <w:rPr>
          <w:rStyle w:val="1275"/>
          <w:sz w:val="28"/>
          <w:szCs w:val="28"/>
        </w:rPr>
        <w:instrText xml:space="preserve"> </w:instrText>
      </w:r>
      <w:r>
        <w:rPr>
          <w:sz w:val="28"/>
          <w:szCs w:val="28"/>
        </w:rPr>
        <w:instrText xml:space="preserve">HYPERLINK \l "_Toc104818926"</w:instrText>
      </w:r>
      <w:r>
        <w:rPr>
          <w:rStyle w:val="1275"/>
          <w:sz w:val="28"/>
          <w:szCs w:val="28"/>
        </w:rPr>
        <w:instrText xml:space="preserve"> </w:instrText>
      </w:r>
      <w:r>
        <w:rPr>
          <w:rStyle w:val="1275"/>
          <w:sz w:val="28"/>
          <w:szCs w:val="28"/>
        </w:rPr>
        <w:fldChar w:fldCharType="separate"/>
      </w:r>
      <w:r>
        <w:rPr>
          <w:rStyle w:val="1275"/>
          <w:rFonts w:hint="eastAsia"/>
          <w:sz w:val="28"/>
          <w:szCs w:val="28"/>
        </w:rPr>
        <w:t xml:space="preserve">第二章</w:t>
      </w:r>
      <w:r>
        <w:rPr>
          <w:rStyle w:val="1275"/>
          <w:sz w:val="28"/>
          <w:szCs w:val="28"/>
        </w:rPr>
        <w:t xml:space="preserve">   </w:t>
      </w:r>
      <w:r>
        <w:rPr>
          <w:rStyle w:val="1275"/>
          <w:rFonts w:hint="eastAsia"/>
          <w:sz w:val="28"/>
          <w:szCs w:val="28"/>
        </w:rPr>
        <w:t xml:space="preserve">供应商须知</w:t>
      </w:r>
      <w:r>
        <w:rPr>
          <w:sz w:val="28"/>
          <w:szCs w:val="28"/>
        </w:rPr>
        <w:tab/>
      </w:r>
      <w:r>
        <w:rPr>
          <w:rStyle w:val="1275"/>
          <w:sz w:val="28"/>
          <w:szCs w:val="28"/>
        </w:rPr>
        <w:fldChar w:fldCharType="end"/>
      </w:r>
      <w:r>
        <w:rPr>
          <w:rStyle w:val="1275"/>
          <w:rFonts w:hint="eastAsia"/>
          <w:sz w:val="28"/>
          <w:szCs w:val="28"/>
          <w:lang w:val="en-US" w:eastAsia="zh-CN"/>
        </w:rPr>
        <w:t xml:space="preserve">5</w:t>
      </w:r>
      <w:r>
        <w:rPr>
          <w:rFonts w:hint="eastAsia" w:ascii="Calibri" w:hAnsi="Calibri" w:eastAsia="宋体"/>
          <w:b w:val="0"/>
          <w:sz w:val="28"/>
          <w:szCs w:val="28"/>
          <w:lang w:val="en-US" w:eastAsia="zh-CN"/>
        </w:rPr>
      </w:r>
      <w:r/>
    </w:p>
    <w:p>
      <w:pPr>
        <w:pStyle w:val="1250"/>
        <w:spacing w:line="480" w:lineRule="auto"/>
        <w:tabs>
          <w:tab w:val="left" w:pos="1050" w:leader="none"/>
          <w:tab w:val="right" w:pos="8937" w:leader="dot"/>
        </w:tabs>
        <w:rPr>
          <w:rFonts w:ascii="Calibri" w:hAnsi="Calibri" w:eastAsia="宋体"/>
          <w:b w:val="0"/>
          <w:sz w:val="28"/>
          <w:szCs w:val="28"/>
          <w:lang w:val="en-US" w:eastAsia="zh-CN"/>
        </w:rPr>
      </w:pPr>
      <w:r>
        <w:rPr>
          <w:rStyle w:val="1275"/>
          <w:sz w:val="28"/>
          <w:szCs w:val="28"/>
        </w:rPr>
        <w:fldChar w:fldCharType="begin"/>
      </w:r>
      <w:r>
        <w:rPr>
          <w:rStyle w:val="1275"/>
          <w:sz w:val="28"/>
          <w:szCs w:val="28"/>
        </w:rPr>
        <w:instrText xml:space="preserve"> </w:instrText>
      </w:r>
      <w:r>
        <w:rPr>
          <w:sz w:val="28"/>
          <w:szCs w:val="28"/>
        </w:rPr>
        <w:instrText xml:space="preserve">HYPERLINK \l "_Toc104818927"</w:instrText>
      </w:r>
      <w:r>
        <w:rPr>
          <w:rStyle w:val="1275"/>
          <w:sz w:val="28"/>
          <w:szCs w:val="28"/>
        </w:rPr>
        <w:instrText xml:space="preserve"> </w:instrText>
      </w:r>
      <w:r>
        <w:rPr>
          <w:rStyle w:val="1275"/>
          <w:sz w:val="28"/>
          <w:szCs w:val="28"/>
        </w:rPr>
        <w:fldChar w:fldCharType="separate"/>
      </w:r>
      <w:r>
        <w:rPr>
          <w:rStyle w:val="1275"/>
          <w:rFonts w:hint="eastAsia"/>
          <w:sz w:val="28"/>
          <w:szCs w:val="28"/>
        </w:rPr>
        <w:t xml:space="preserve">第三章</w:t>
      </w:r>
      <w:r>
        <w:rPr>
          <w:rStyle w:val="1275"/>
          <w:sz w:val="28"/>
          <w:szCs w:val="28"/>
        </w:rPr>
        <w:t xml:space="preserve">   </w:t>
      </w:r>
      <w:r>
        <w:rPr>
          <w:rStyle w:val="1275"/>
          <w:rFonts w:hint="eastAsia"/>
          <w:sz w:val="28"/>
          <w:szCs w:val="28"/>
        </w:rPr>
        <w:t xml:space="preserve">评审程序、评审方法和评审标准</w:t>
      </w:r>
      <w:r>
        <w:rPr>
          <w:sz w:val="28"/>
          <w:szCs w:val="28"/>
        </w:rPr>
        <w:tab/>
      </w:r>
      <w:r>
        <w:rPr>
          <w:rStyle w:val="1275"/>
          <w:sz w:val="28"/>
          <w:szCs w:val="28"/>
        </w:rPr>
        <w:fldChar w:fldCharType="end"/>
      </w:r>
      <w:r>
        <w:rPr>
          <w:rStyle w:val="1275"/>
          <w:rFonts w:hint="eastAsia"/>
          <w:sz w:val="28"/>
          <w:szCs w:val="28"/>
          <w:lang w:val="en-US" w:eastAsia="zh-CN"/>
        </w:rPr>
        <w:t xml:space="preserve">17</w:t>
      </w:r>
      <w:r>
        <w:rPr>
          <w:rFonts w:ascii="Calibri" w:hAnsi="Calibri" w:eastAsia="宋体"/>
          <w:b w:val="0"/>
          <w:sz w:val="28"/>
          <w:szCs w:val="28"/>
          <w:lang w:val="en-US" w:eastAsia="zh-CN"/>
        </w:rPr>
      </w:r>
      <w:r/>
    </w:p>
    <w:p>
      <w:pPr>
        <w:pStyle w:val="1250"/>
        <w:spacing w:line="480" w:lineRule="auto"/>
        <w:tabs>
          <w:tab w:val="left" w:pos="1050" w:leader="none"/>
          <w:tab w:val="right" w:pos="8937" w:leader="dot"/>
        </w:tabs>
        <w:rPr>
          <w:rFonts w:ascii="Calibri" w:hAnsi="Calibri" w:eastAsia="宋体"/>
          <w:b w:val="0"/>
          <w:sz w:val="28"/>
          <w:szCs w:val="28"/>
          <w:lang w:val="en-US" w:eastAsia="zh-CN"/>
        </w:rPr>
      </w:pPr>
      <w:r>
        <w:rPr>
          <w:rStyle w:val="1275"/>
          <w:sz w:val="28"/>
          <w:szCs w:val="28"/>
        </w:rPr>
        <w:fldChar w:fldCharType="begin"/>
      </w:r>
      <w:r>
        <w:rPr>
          <w:rStyle w:val="1275"/>
          <w:sz w:val="28"/>
          <w:szCs w:val="28"/>
        </w:rPr>
        <w:instrText xml:space="preserve"> </w:instrText>
      </w:r>
      <w:r>
        <w:rPr>
          <w:sz w:val="28"/>
          <w:szCs w:val="28"/>
        </w:rPr>
        <w:instrText xml:space="preserve">HYPERLINK \l "_Toc104818928"</w:instrText>
      </w:r>
      <w:r>
        <w:rPr>
          <w:rStyle w:val="1275"/>
          <w:sz w:val="28"/>
          <w:szCs w:val="28"/>
        </w:rPr>
        <w:instrText xml:space="preserve"> </w:instrText>
      </w:r>
      <w:r>
        <w:rPr>
          <w:rStyle w:val="1275"/>
          <w:sz w:val="28"/>
          <w:szCs w:val="28"/>
        </w:rPr>
        <w:fldChar w:fldCharType="separate"/>
      </w:r>
      <w:r>
        <w:rPr>
          <w:rStyle w:val="1275"/>
          <w:rFonts w:hint="eastAsia"/>
          <w:sz w:val="28"/>
          <w:szCs w:val="28"/>
        </w:rPr>
        <w:t xml:space="preserve">第四章</w:t>
      </w:r>
      <w:r>
        <w:rPr>
          <w:rStyle w:val="1275"/>
          <w:sz w:val="28"/>
          <w:szCs w:val="28"/>
        </w:rPr>
        <w:t xml:space="preserve">   </w:t>
      </w:r>
      <w:r>
        <w:rPr>
          <w:rStyle w:val="1275"/>
          <w:rFonts w:hint="eastAsia"/>
          <w:sz w:val="28"/>
          <w:szCs w:val="28"/>
        </w:rPr>
        <w:t xml:space="preserve">采购需求</w:t>
      </w:r>
      <w:r>
        <w:rPr>
          <w:sz w:val="28"/>
          <w:szCs w:val="28"/>
        </w:rPr>
        <w:tab/>
      </w:r>
      <w:r>
        <w:rPr>
          <w:rStyle w:val="1275"/>
          <w:sz w:val="28"/>
          <w:szCs w:val="28"/>
        </w:rPr>
        <w:fldChar w:fldCharType="end"/>
      </w:r>
      <w:r>
        <w:rPr>
          <w:rStyle w:val="1275"/>
          <w:rFonts w:hint="eastAsia"/>
          <w:sz w:val="28"/>
          <w:szCs w:val="28"/>
          <w:lang w:val="en-US" w:eastAsia="zh-CN"/>
        </w:rPr>
        <w:t xml:space="preserve">27</w:t>
      </w:r>
      <w:r>
        <w:rPr>
          <w:rFonts w:ascii="Calibri" w:hAnsi="Calibri" w:eastAsia="宋体"/>
          <w:b w:val="0"/>
          <w:sz w:val="28"/>
          <w:szCs w:val="28"/>
          <w:lang w:val="en-US" w:eastAsia="zh-CN"/>
        </w:rPr>
      </w:r>
      <w:r/>
    </w:p>
    <w:p>
      <w:pPr>
        <w:pStyle w:val="1250"/>
        <w:spacing w:line="480" w:lineRule="auto"/>
        <w:tabs>
          <w:tab w:val="left" w:pos="1050" w:leader="none"/>
          <w:tab w:val="right" w:pos="8937" w:leader="dot"/>
        </w:tabs>
        <w:rPr>
          <w:rFonts w:ascii="Calibri" w:hAnsi="Calibri" w:eastAsia="宋体"/>
          <w:b w:val="0"/>
          <w:sz w:val="28"/>
          <w:szCs w:val="28"/>
          <w:lang w:val="en-US" w:eastAsia="zh-CN"/>
        </w:rPr>
      </w:pPr>
      <w:r>
        <w:rPr>
          <w:rStyle w:val="1275"/>
          <w:sz w:val="28"/>
          <w:szCs w:val="28"/>
        </w:rPr>
        <w:fldChar w:fldCharType="begin"/>
      </w:r>
      <w:r>
        <w:rPr>
          <w:rStyle w:val="1275"/>
          <w:sz w:val="28"/>
          <w:szCs w:val="28"/>
        </w:rPr>
        <w:instrText xml:space="preserve"> </w:instrText>
      </w:r>
      <w:r>
        <w:rPr>
          <w:sz w:val="28"/>
          <w:szCs w:val="28"/>
        </w:rPr>
        <w:instrText xml:space="preserve">HYPERLINK \l "_Toc104818929"</w:instrText>
      </w:r>
      <w:r>
        <w:rPr>
          <w:rStyle w:val="1275"/>
          <w:sz w:val="28"/>
          <w:szCs w:val="28"/>
        </w:rPr>
        <w:instrText xml:space="preserve"> </w:instrText>
      </w:r>
      <w:r>
        <w:rPr>
          <w:rStyle w:val="1275"/>
          <w:sz w:val="28"/>
          <w:szCs w:val="28"/>
        </w:rPr>
        <w:fldChar w:fldCharType="separate"/>
      </w:r>
      <w:r>
        <w:rPr>
          <w:rStyle w:val="1275"/>
          <w:rFonts w:hint="eastAsia"/>
          <w:sz w:val="28"/>
          <w:szCs w:val="28"/>
        </w:rPr>
        <w:t xml:space="preserve">第五章</w:t>
      </w:r>
      <w:r>
        <w:rPr>
          <w:rStyle w:val="1275"/>
          <w:sz w:val="28"/>
          <w:szCs w:val="28"/>
        </w:rPr>
        <w:t xml:space="preserve">   </w:t>
      </w:r>
      <w:r>
        <w:rPr>
          <w:rStyle w:val="1275"/>
          <w:rFonts w:hint="eastAsia"/>
          <w:sz w:val="28"/>
          <w:szCs w:val="28"/>
        </w:rPr>
        <w:t xml:space="preserve">合同草案条款</w:t>
      </w:r>
      <w:r>
        <w:rPr>
          <w:sz w:val="28"/>
          <w:szCs w:val="28"/>
        </w:rPr>
        <w:tab/>
      </w:r>
      <w:r>
        <w:rPr>
          <w:rStyle w:val="1275"/>
          <w:sz w:val="28"/>
          <w:szCs w:val="28"/>
        </w:rPr>
        <w:fldChar w:fldCharType="end"/>
      </w:r>
      <w:r>
        <w:rPr>
          <w:rStyle w:val="1275"/>
          <w:rFonts w:hint="eastAsia"/>
          <w:sz w:val="28"/>
          <w:szCs w:val="28"/>
          <w:lang w:val="en-US" w:eastAsia="zh-CN"/>
        </w:rPr>
        <w:t xml:space="preserve">41</w:t>
      </w:r>
      <w:r>
        <w:rPr>
          <w:rFonts w:ascii="Calibri" w:hAnsi="Calibri" w:eastAsia="宋体"/>
          <w:b w:val="0"/>
          <w:sz w:val="28"/>
          <w:szCs w:val="28"/>
          <w:lang w:val="en-US" w:eastAsia="zh-CN"/>
        </w:rPr>
      </w:r>
      <w:r/>
    </w:p>
    <w:p>
      <w:pPr>
        <w:pStyle w:val="1250"/>
        <w:spacing w:line="480" w:lineRule="auto"/>
        <w:tabs>
          <w:tab w:val="left" w:pos="1050" w:leader="none"/>
          <w:tab w:val="right" w:pos="8937" w:leader="dot"/>
        </w:tabs>
        <w:rPr>
          <w:rFonts w:ascii="Calibri" w:hAnsi="Calibri" w:eastAsia="宋体"/>
          <w:b w:val="0"/>
          <w:sz w:val="28"/>
          <w:szCs w:val="28"/>
          <w:lang w:val="en-US" w:eastAsia="zh-CN"/>
        </w:rPr>
      </w:pPr>
      <w:r>
        <w:rPr>
          <w:rStyle w:val="1275"/>
          <w:sz w:val="28"/>
          <w:szCs w:val="28"/>
        </w:rPr>
        <w:fldChar w:fldCharType="begin"/>
      </w:r>
      <w:r>
        <w:rPr>
          <w:rStyle w:val="1275"/>
          <w:sz w:val="28"/>
          <w:szCs w:val="28"/>
        </w:rPr>
        <w:instrText xml:space="preserve"> </w:instrText>
      </w:r>
      <w:r>
        <w:rPr>
          <w:sz w:val="28"/>
          <w:szCs w:val="28"/>
        </w:rPr>
        <w:instrText xml:space="preserve">HYPERLINK \l "_Toc104818930"</w:instrText>
      </w:r>
      <w:r>
        <w:rPr>
          <w:rStyle w:val="1275"/>
          <w:sz w:val="28"/>
          <w:szCs w:val="28"/>
        </w:rPr>
        <w:instrText xml:space="preserve"> </w:instrText>
      </w:r>
      <w:r>
        <w:rPr>
          <w:rStyle w:val="1275"/>
          <w:sz w:val="28"/>
          <w:szCs w:val="28"/>
        </w:rPr>
        <w:fldChar w:fldCharType="separate"/>
      </w:r>
      <w:r>
        <w:rPr>
          <w:rStyle w:val="1275"/>
          <w:rFonts w:hint="eastAsia"/>
          <w:sz w:val="28"/>
          <w:szCs w:val="28"/>
        </w:rPr>
        <w:t xml:space="preserve">第六章</w:t>
      </w:r>
      <w:r>
        <w:rPr>
          <w:rStyle w:val="1275"/>
          <w:sz w:val="28"/>
          <w:szCs w:val="28"/>
        </w:rPr>
        <w:t xml:space="preserve">   </w:t>
      </w:r>
      <w:r>
        <w:rPr>
          <w:rStyle w:val="1275"/>
          <w:rFonts w:hint="eastAsia"/>
          <w:sz w:val="28"/>
          <w:szCs w:val="28"/>
        </w:rPr>
        <w:t xml:space="preserve">响应文件格式</w:t>
      </w:r>
      <w:r>
        <w:rPr>
          <w:sz w:val="28"/>
          <w:szCs w:val="28"/>
        </w:rPr>
        <w:tab/>
      </w:r>
      <w:r>
        <w:rPr>
          <w:rStyle w:val="1275"/>
          <w:sz w:val="28"/>
          <w:szCs w:val="28"/>
        </w:rPr>
        <w:fldChar w:fldCharType="end"/>
      </w:r>
      <w:r>
        <w:rPr>
          <w:rStyle w:val="1275"/>
          <w:rFonts w:hint="eastAsia"/>
          <w:sz w:val="28"/>
          <w:szCs w:val="28"/>
          <w:lang w:val="en-US" w:eastAsia="zh-CN"/>
        </w:rPr>
        <w:t xml:space="preserve">46</w:t>
      </w:r>
      <w:r>
        <w:rPr>
          <w:rFonts w:ascii="Calibri" w:hAnsi="Calibri" w:eastAsia="宋体"/>
          <w:b w:val="0"/>
          <w:sz w:val="28"/>
          <w:szCs w:val="28"/>
          <w:lang w:val="en-US" w:eastAsia="zh-CN"/>
        </w:rPr>
      </w:r>
      <w:r/>
    </w:p>
    <w:p>
      <w:pPr>
        <w:pStyle w:val="1250"/>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250"/>
        <w:spacing w:line="360" w:lineRule="auto"/>
        <w:tabs>
          <w:tab w:val="left" w:pos="1050" w:leader="none"/>
          <w:tab w:val="right" w:pos="8937" w:leader="dot"/>
        </w:tabs>
        <w:rPr>
          <w:b w:val="0"/>
          <w:sz w:val="36"/>
          <w:szCs w:val="36"/>
        </w:rPr>
      </w:pPr>
      <w:r>
        <w:rPr>
          <w:b w:val="0"/>
          <w:sz w:val="36"/>
          <w:szCs w:val="36"/>
        </w:rPr>
      </w:r>
      <w:r/>
    </w:p>
    <w:p>
      <w:pPr>
        <w:pStyle w:val="1197"/>
        <w:jc w:val="center"/>
        <w:spacing w:line="360" w:lineRule="auto"/>
        <w:rPr>
          <w:b/>
          <w:sz w:val="36"/>
          <w:szCs w:val="36"/>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pStyle w:val="1197"/>
        <w:jc w:val="center"/>
        <w:spacing w:line="360" w:lineRule="auto"/>
        <w:rPr>
          <w:color w:val="000000"/>
          <w:sz w:val="21"/>
          <w:szCs w:val="21"/>
          <w:highlight w:val="none"/>
        </w:rPr>
        <w:outlineLvl w:val="0"/>
      </w:pPr>
      <w:r/>
      <w:bookmarkStart w:id="1" w:name="_Toc104818925"/>
      <w:r>
        <w:rPr>
          <w:b/>
          <w:color w:val="000000"/>
          <w:sz w:val="32"/>
          <w:szCs w:val="32"/>
          <w:highlight w:val="none"/>
        </w:rPr>
        <w:t xml:space="preserve">第一章   采购邀请</w:t>
      </w:r>
      <w:bookmarkEnd w:id="1"/>
      <w:r/>
      <w:bookmarkStart w:id="2" w:name="_Toc28359079"/>
      <w:r/>
      <w:bookmarkStart w:id="3" w:name="_Toc35393790"/>
      <w:r/>
      <w:bookmarkStart w:id="4" w:name="_Toc28359002"/>
      <w:r/>
      <w:bookmarkStart w:id="5" w:name="_Toc35393621"/>
      <w:r/>
      <w:bookmarkStart w:id="6" w:name="_Hlk24379207"/>
      <w:r>
        <w:rPr>
          <w:color w:val="000000"/>
          <w:sz w:val="21"/>
          <w:szCs w:val="21"/>
          <w:highlight w:val="none"/>
        </w:rPr>
      </w:r>
      <w:r/>
    </w:p>
    <w:p>
      <w:pPr>
        <w:pStyle w:val="1199"/>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一、项目基本情况</w:t>
      </w:r>
      <w:bookmarkEnd w:id="2"/>
      <w:r/>
      <w:bookmarkEnd w:id="3"/>
      <w:r/>
      <w:bookmarkEnd w:id="4"/>
      <w:r/>
      <w:bookmarkEnd w:id="5"/>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u w:val="none"/>
          <w:lang w:eastAsia="zh-CN"/>
        </w:rPr>
        <w:t xml:space="preserve">JSZC-320402-CZYJ-C2025-0018</w:t>
      </w:r>
      <w:r>
        <w:rPr>
          <w:rFonts w:hint="eastAsia" w:ascii="宋体" w:hAnsi="宋体" w:eastAsia="宋体" w:cs="宋体"/>
          <w:color w:val="000000"/>
          <w:sz w:val="21"/>
          <w:szCs w:val="21"/>
          <w:highlight w:val="none"/>
          <w:lang w:eastAsia="zh-CN"/>
        </w:rPr>
      </w:r>
      <w:r/>
    </w:p>
    <w:p>
      <w:pPr>
        <w:pStyle w:val="1197"/>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u w:val="none"/>
          <w:lang w:eastAsia="zh-CN"/>
        </w:rPr>
        <w:t xml:space="preserve">工舍路（兰陵北路-清南桥）道路清扫保洁作业服务项目</w:t>
      </w:r>
      <w:r>
        <w:rPr>
          <w:rFonts w:hint="eastAsia" w:ascii="宋体" w:hAnsi="宋体" w:eastAsia="宋体" w:cs="宋体"/>
          <w:color w:val="000000"/>
          <w:sz w:val="21"/>
          <w:szCs w:val="21"/>
          <w:highlight w:val="none"/>
          <w:u w:val="single"/>
          <w:lang w:eastAsia="zh-CN"/>
        </w:rPr>
      </w:r>
      <w:r/>
    </w:p>
    <w:p>
      <w:pPr>
        <w:pStyle w:val="11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3.采购方式：竞争性磋商</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lang w:eastAsia="zh-CN"/>
        </w:rPr>
      </w:pPr>
      <w:r/>
      <w:bookmarkEnd w:id="6"/>
      <w:r>
        <w:rPr>
          <w:rFonts w:hint="eastAsia" w:ascii="宋体" w:hAnsi="宋体" w:eastAsia="宋体" w:cs="宋体"/>
          <w:color w:val="000000"/>
          <w:sz w:val="21"/>
          <w:szCs w:val="21"/>
          <w:highlight w:val="none"/>
        </w:rPr>
        <w:t xml:space="preserve">4.项目预算金额</w:t>
      </w:r>
      <w:r>
        <w:rPr>
          <w:rFonts w:hint="eastAsia" w:ascii="宋体" w:hAnsi="宋体" w:eastAsia="宋体" w:cs="宋体"/>
          <w:b/>
          <w:bCs/>
          <w:color w:val="000000"/>
          <w:sz w:val="21"/>
          <w:szCs w:val="21"/>
          <w:highlight w:val="none"/>
          <w:u w:val="none"/>
        </w:rPr>
        <w:t xml:space="preserve">：</w:t>
      </w:r>
      <w:r>
        <w:rPr>
          <w:rFonts w:hint="eastAsia" w:ascii="宋体" w:hAnsi="宋体" w:eastAsia="宋体" w:cs="宋体"/>
          <w:b/>
          <w:bCs/>
          <w:color w:val="000000"/>
          <w:sz w:val="21"/>
          <w:szCs w:val="21"/>
          <w:highlight w:val="none"/>
          <w:u w:val="single"/>
          <w:lang w:val="en-US" w:eastAsia="zh-CN"/>
        </w:rPr>
        <w:t xml:space="preserve">59.2万元</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59.2万元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p>
      <w:pPr>
        <w:pStyle w:val="119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5.采购需求：本项目为</w:t>
      </w:r>
      <w:r>
        <w:rPr>
          <w:rFonts w:hint="eastAsia" w:ascii="宋体" w:hAnsi="宋体" w:eastAsia="宋体" w:cs="宋体"/>
          <w:color w:val="000000"/>
          <w:sz w:val="21"/>
          <w:szCs w:val="21"/>
          <w:highlight w:val="none"/>
          <w:lang w:eastAsia="zh-CN"/>
        </w:rPr>
        <w:t xml:space="preserve">工舍路（兰陵北路-清南桥）道路清扫保洁作业服务项目</w:t>
      </w:r>
      <w:r>
        <w:rPr>
          <w:rFonts w:hint="eastAsia" w:ascii="宋体" w:hAnsi="宋体" w:eastAsia="宋体" w:cs="宋体"/>
          <w:color w:val="000000"/>
          <w:sz w:val="21"/>
          <w:szCs w:val="21"/>
          <w:highlight w:val="none"/>
        </w:rPr>
        <w:t xml:space="preserve">，详见采购需求。</w:t>
      </w:r>
      <w:r>
        <w:rPr>
          <w:rFonts w:hint="eastAsia" w:ascii="宋体" w:hAnsi="宋体" w:eastAsia="宋体" w:cs="宋体"/>
          <w:color w:val="000000"/>
          <w:sz w:val="21"/>
          <w:szCs w:val="21"/>
          <w:highlight w:val="none"/>
          <w:lang w:eastAsia="zh-CN"/>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558"/>
        <w:gridCol w:w="1702"/>
        <w:gridCol w:w="998"/>
        <w:gridCol w:w="4276"/>
      </w:tblGrid>
      <w:tr>
        <w:trPr>
          <w:trHeight w:val="454"/>
        </w:trPr>
        <w:tc>
          <w:tcPr>
            <w:tcW w:w="380" w:type="dxa"/>
            <w:vAlign w:val="center"/>
            <w:textDirection w:val="lrTb"/>
            <w:noWrap w:val="false"/>
          </w:tcPr>
          <w:p>
            <w:pPr>
              <w:pStyle w:val="1197"/>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序号</w:t>
            </w:r>
            <w:r>
              <w:rPr>
                <w:rFonts w:hint="eastAsia" w:ascii="宋体" w:hAnsi="宋体" w:eastAsia="宋体" w:cs="宋体"/>
                <w:bCs/>
                <w:color w:val="000000"/>
                <w:sz w:val="21"/>
                <w:szCs w:val="21"/>
                <w:highlight w:val="none"/>
                <w:lang w:eastAsia="zh-CN"/>
              </w:rPr>
            </w:r>
            <w:r/>
          </w:p>
        </w:tc>
        <w:tc>
          <w:tcPr>
            <w:tcW w:w="843" w:type="dxa"/>
            <w:vAlign w:val="center"/>
            <w:textDirection w:val="lrTb"/>
            <w:noWrap w:val="false"/>
          </w:tcPr>
          <w:p>
            <w:pPr>
              <w:pStyle w:val="1197"/>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标的名称</w:t>
            </w:r>
            <w:r>
              <w:rPr>
                <w:rFonts w:hint="eastAsia" w:ascii="宋体" w:hAnsi="宋体" w:eastAsia="宋体" w:cs="宋体"/>
                <w:bCs/>
                <w:color w:val="000000"/>
                <w:sz w:val="21"/>
                <w:szCs w:val="21"/>
                <w:highlight w:val="none"/>
              </w:rPr>
            </w:r>
            <w:r/>
          </w:p>
        </w:tc>
        <w:tc>
          <w:tcPr>
            <w:tcW w:w="921" w:type="dxa"/>
            <w:vAlign w:val="center"/>
            <w:textDirection w:val="lrTb"/>
            <w:noWrap w:val="false"/>
          </w:tcPr>
          <w:p>
            <w:pPr>
              <w:pStyle w:val="1197"/>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采购包预算金额</w:t>
            </w:r>
            <w:r>
              <w:rPr>
                <w:rFonts w:hint="eastAsia" w:ascii="宋体" w:hAnsi="宋体" w:eastAsia="宋体" w:cs="宋体"/>
                <w:bCs/>
                <w:color w:val="000000"/>
                <w:sz w:val="21"/>
                <w:szCs w:val="21"/>
                <w:highlight w:val="none"/>
              </w:rPr>
            </w:r>
            <w:r/>
          </w:p>
          <w:p>
            <w:pPr>
              <w:pStyle w:val="1197"/>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（万元）</w:t>
            </w:r>
            <w:r>
              <w:rPr>
                <w:rFonts w:hint="eastAsia" w:ascii="宋体" w:hAnsi="宋体" w:eastAsia="宋体" w:cs="宋体"/>
                <w:bCs/>
                <w:color w:val="000000"/>
                <w:sz w:val="21"/>
                <w:szCs w:val="21"/>
                <w:highlight w:val="none"/>
              </w:rPr>
            </w:r>
            <w:r/>
          </w:p>
        </w:tc>
        <w:tc>
          <w:tcPr>
            <w:tcW w:w="540" w:type="dxa"/>
            <w:vAlign w:val="center"/>
            <w:textDirection w:val="lrTb"/>
            <w:noWrap w:val="false"/>
          </w:tcPr>
          <w:p>
            <w:pPr>
              <w:pStyle w:val="1197"/>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rPr>
                <w:rFonts w:hint="eastAsia" w:ascii="宋体" w:hAnsi="宋体" w:eastAsia="宋体" w:cs="宋体"/>
                <w:bCs/>
                <w:color w:val="000000"/>
                <w:sz w:val="21"/>
                <w:szCs w:val="21"/>
                <w:highlight w:val="none"/>
              </w:rPr>
            </w:r>
            <w:r/>
          </w:p>
        </w:tc>
        <w:tc>
          <w:tcPr>
            <w:tcW w:w="231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简要技术需求或服务要求</w:t>
            </w:r>
            <w:r>
              <w:rPr>
                <w:rFonts w:hint="eastAsia" w:ascii="宋体" w:hAnsi="宋体" w:eastAsia="宋体" w:cs="宋体"/>
                <w:color w:val="000000"/>
                <w:sz w:val="21"/>
                <w:szCs w:val="21"/>
                <w:highlight w:val="none"/>
              </w:rPr>
            </w:r>
            <w:r/>
          </w:p>
        </w:tc>
      </w:tr>
      <w:tr>
        <w:trPr>
          <w:trHeight w:val="832"/>
        </w:trPr>
        <w:tc>
          <w:tcPr>
            <w:tcW w:w="380" w:type="dxa"/>
            <w:vAlign w:val="center"/>
            <w:textDirection w:val="lrTb"/>
            <w:noWrap w:val="false"/>
          </w:tcPr>
          <w:p>
            <w:pPr>
              <w:pStyle w:val="1197"/>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01</w:t>
            </w:r>
            <w:r>
              <w:rPr>
                <w:rFonts w:hint="eastAsia" w:ascii="宋体" w:hAnsi="宋体" w:eastAsia="宋体" w:cs="宋体"/>
                <w:bCs/>
                <w:color w:val="000000"/>
                <w:sz w:val="21"/>
                <w:szCs w:val="21"/>
                <w:highlight w:val="none"/>
              </w:rPr>
            </w:r>
            <w:r/>
          </w:p>
        </w:tc>
        <w:tc>
          <w:tcPr>
            <w:tcW w:w="843" w:type="dxa"/>
            <w:vAlign w:val="center"/>
            <w:textDirection w:val="lrTb"/>
            <w:noWrap w:val="false"/>
          </w:tcPr>
          <w:p>
            <w:pPr>
              <w:pStyle w:val="1197"/>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工舍路（兰陵北路-清南桥）道路清扫保洁作业服务项目</w:t>
            </w:r>
            <w:r>
              <w:rPr>
                <w:rFonts w:hint="eastAsia" w:ascii="宋体" w:hAnsi="宋体" w:eastAsia="宋体" w:cs="宋体"/>
                <w:bCs/>
                <w:color w:val="000000"/>
                <w:sz w:val="21"/>
                <w:szCs w:val="21"/>
                <w:highlight w:val="none"/>
                <w:lang w:eastAsia="zh-CN"/>
              </w:rPr>
            </w:r>
            <w:r/>
          </w:p>
        </w:tc>
        <w:tc>
          <w:tcPr>
            <w:tcW w:w="921" w:type="dxa"/>
            <w:vAlign w:val="center"/>
            <w:textDirection w:val="lrTb"/>
            <w:noWrap w:val="false"/>
          </w:tcPr>
          <w:p>
            <w:pPr>
              <w:pStyle w:val="1197"/>
              <w:jc w:val="center"/>
              <w:rPr>
                <w:rFonts w:ascii="宋体" w:hAnsi="宋体" w:eastAsia="宋体" w:cs="宋体"/>
                <w:bCs/>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59.2</w:t>
            </w:r>
            <w:r>
              <w:rPr>
                <w:rFonts w:ascii="宋体" w:hAnsi="宋体" w:eastAsia="宋体" w:cs="宋体"/>
                <w:bCs/>
                <w:color w:val="000000"/>
                <w:sz w:val="21"/>
                <w:szCs w:val="21"/>
                <w:highlight w:val="none"/>
                <w:lang w:val="en-US" w:eastAsia="zh-CN"/>
              </w:rPr>
            </w:r>
            <w:r/>
          </w:p>
        </w:tc>
        <w:tc>
          <w:tcPr>
            <w:tcW w:w="540" w:type="dxa"/>
            <w:vAlign w:val="center"/>
            <w:textDirection w:val="lrTb"/>
            <w:noWrap w:val="false"/>
          </w:tcPr>
          <w:p>
            <w:pPr>
              <w:pStyle w:val="1197"/>
              <w:jc w:val="center"/>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1项</w:t>
            </w:r>
            <w:r>
              <w:rPr>
                <w:rFonts w:ascii="宋体" w:hAnsi="宋体" w:eastAsia="宋体" w:cs="宋体"/>
                <w:bCs/>
                <w:color w:val="000000"/>
                <w:sz w:val="21"/>
                <w:szCs w:val="21"/>
                <w:highlight w:val="none"/>
                <w:lang w:val="en-US" w:eastAsia="zh-CN"/>
              </w:rPr>
            </w:r>
            <w:r/>
          </w:p>
        </w:tc>
        <w:tc>
          <w:tcPr>
            <w:tcW w:w="2314" w:type="dxa"/>
            <w:vAlign w:val="center"/>
            <w:textDirection w:val="lrTb"/>
            <w:noWrap w:val="false"/>
          </w:tcPr>
          <w:p>
            <w:pPr>
              <w:pStyle w:val="1197"/>
              <w:jc w:val="left"/>
              <w:rPr>
                <w:rFonts w:hint="eastAsia"/>
                <w:color w:val="000000"/>
                <w:highlight w:val="none"/>
                <w:lang w:eastAsia="zh-CN"/>
              </w:rPr>
            </w:pPr>
            <w:r>
              <w:rPr>
                <w:rFonts w:hint="eastAsia"/>
                <w:color w:val="000000"/>
                <w:highlight w:val="none"/>
                <w:lang w:eastAsia="zh-CN"/>
              </w:rPr>
              <w:t xml:space="preserve">为提升工舍路城市管理水平，保障工舍路（兰陵北路-清南桥）市容环境卫生，对工舍路（兰陵北路-清南桥）道路采购市场化清扫保洁作业服务。</w:t>
            </w:r>
            <w:r>
              <w:rPr>
                <w:rFonts w:hint="eastAsia"/>
                <w:color w:val="000000"/>
                <w:highlight w:val="none"/>
                <w:lang w:eastAsia="zh-CN"/>
              </w:rPr>
            </w:r>
            <w:r/>
          </w:p>
        </w:tc>
      </w:tr>
    </w:tbl>
    <w:p>
      <w:pPr>
        <w:pStyle w:val="119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eastAsia="zh-CN"/>
        </w:rPr>
        <w:t xml:space="preserve">贰年，自2026年1月1日至2027年12月31日止。合同一年一签，一年合同期满后经采购人考核合格后可续签下一年合同。</w:t>
      </w:r>
      <w:r>
        <w:rPr>
          <w:rFonts w:hint="eastAsia" w:ascii="宋体" w:hAnsi="宋体" w:eastAsia="宋体" w:cs="宋体"/>
          <w:color w:val="000000"/>
          <w:sz w:val="21"/>
          <w:szCs w:val="21"/>
          <w:highlight w:val="none"/>
          <w:lang w:eastAsia="zh-CN"/>
        </w:rPr>
      </w:r>
      <w:r/>
    </w:p>
    <w:p>
      <w:pPr>
        <w:pStyle w:val="11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7.本项目是否接受联合体：</w:t>
      </w: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是  ■否。</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rPr>
      </w:pPr>
      <w:r/>
      <w:bookmarkStart w:id="7" w:name="_Toc35393791"/>
      <w:r/>
      <w:bookmarkStart w:id="8" w:name="_Toc28359003"/>
      <w:r/>
      <w:bookmarkStart w:id="9" w:name="_Toc28359080"/>
      <w:r/>
      <w:bookmarkStart w:id="10" w:name="_Toc35393622"/>
      <w:r>
        <w:rPr>
          <w:rFonts w:hint="eastAsia" w:ascii="宋体" w:hAnsi="宋体" w:eastAsia="宋体" w:cs="宋体"/>
          <w:color w:val="000000"/>
          <w:sz w:val="21"/>
          <w:szCs w:val="21"/>
          <w:highlight w:val="none"/>
        </w:rPr>
        <w:t xml:space="preserve">8.本项目是否接受进口产品响应：□是  ■否。</w:t>
      </w:r>
      <w:r>
        <w:rPr>
          <w:rFonts w:hint="eastAsia" w:ascii="宋体" w:hAnsi="宋体" w:eastAsia="宋体" w:cs="宋体"/>
          <w:color w:val="000000"/>
          <w:sz w:val="21"/>
          <w:szCs w:val="21"/>
          <w:highlight w:val="none"/>
        </w:rPr>
      </w:r>
      <w:r/>
    </w:p>
    <w:p>
      <w:pPr>
        <w:pStyle w:val="1199"/>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二、申请人的资格要求（须同时满足）</w:t>
      </w:r>
      <w:bookmarkEnd w:id="7"/>
      <w:r/>
      <w:bookmarkEnd w:id="8"/>
      <w:r/>
      <w:bookmarkEnd w:id="9"/>
      <w:r/>
      <w:bookmarkEnd w:id="10"/>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rPr>
      </w:pPr>
      <w:r/>
      <w:bookmarkStart w:id="11" w:name="_Toc28359004"/>
      <w:r/>
      <w:bookmarkStart w:id="12" w:name="_Toc28359081"/>
      <w:r>
        <w:rPr>
          <w:rFonts w:hint="eastAsia" w:ascii="宋体" w:hAnsi="宋体" w:eastAsia="宋体" w:cs="宋体"/>
          <w:color w:val="000000"/>
          <w:sz w:val="21"/>
          <w:szCs w:val="21"/>
          <w:highlight w:val="none"/>
        </w:rPr>
        <w:t xml:space="preserve">1.满足《中华人民共和国政府采购法》第二十二条规定以及下列情形：</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中小企业政策</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本项目不专门面向中小企业预留采购份额。</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本项目专门面向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中小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小微企业  采购。即：提供的货物全部由符合政策要求的中小/小微企业制造、服务全部由符合政策要求的中小/小微企业承接。</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其它落实政府采购政策的资格要求：</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i/>
          <w:iCs/>
          <w:color w:val="000000"/>
          <w:sz w:val="21"/>
          <w:szCs w:val="21"/>
          <w:highlight w:val="none"/>
          <w:u w:val="single"/>
        </w:rPr>
      </w:r>
      <w:r/>
    </w:p>
    <w:p>
      <w:pPr>
        <w:pStyle w:val="1197"/>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3.1本项目是否接受分支机构参与响应：□是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1197"/>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本项目是否属于政府购买服务：</w:t>
      </w:r>
      <w:r>
        <w:rPr>
          <w:rFonts w:hint="eastAsia" w:ascii="宋体" w:hAnsi="宋体" w:eastAsia="宋体" w:cs="宋体"/>
          <w:color w:val="000000"/>
          <w:sz w:val="21"/>
          <w:szCs w:val="21"/>
          <w:highlight w:val="none"/>
        </w:rPr>
      </w:r>
      <w:r/>
    </w:p>
    <w:p>
      <w:pPr>
        <w:pStyle w:val="1197"/>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1197"/>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是，公益一类事业单位、使用事业编制且由财政拨款保障的群团组织，不得作为承接</w:t>
      </w:r>
      <w:r>
        <w:rPr>
          <w:rFonts w:hint="eastAsia" w:ascii="宋体" w:hAnsi="宋体" w:eastAsia="宋体" w:cs="宋体"/>
          <w:color w:val="000000"/>
          <w:sz w:val="21"/>
          <w:szCs w:val="21"/>
          <w:highlight w:val="none"/>
        </w:rPr>
      </w:r>
      <w:r/>
    </w:p>
    <w:p>
      <w:pPr>
        <w:pStyle w:val="1197"/>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主体；</w:t>
      </w:r>
      <w:r>
        <w:rPr>
          <w:rFonts w:hint="eastAsia" w:ascii="宋体" w:hAnsi="宋体" w:eastAsia="宋体" w:cs="宋体"/>
          <w:color w:val="000000"/>
          <w:sz w:val="21"/>
          <w:szCs w:val="21"/>
          <w:highlight w:val="none"/>
        </w:rPr>
      </w:r>
      <w:r/>
    </w:p>
    <w:p>
      <w:pPr>
        <w:pStyle w:val="1197"/>
        <w:ind w:firstLine="420"/>
        <w:spacing w:line="360" w:lineRule="auto"/>
        <w:tabs>
          <w:tab w:val="left" w:pos="900" w:leader="none"/>
          <w:tab w:val="left" w:pos="1134" w:leader="none"/>
          <w:tab w:val="left" w:pos="1589" w:leader="none"/>
          <w:tab w:val="left" w:pos="5521"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3.3其他特定资格要求：无</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1199"/>
        <w:jc w:val="left"/>
        <w:spacing w:before="0" w:line="360" w:lineRule="auto"/>
        <w:widowControl/>
        <w:rPr>
          <w:rFonts w:hint="eastAsia" w:ascii="宋体" w:hAnsi="宋体" w:eastAsia="宋体" w:cs="宋体"/>
          <w:color w:val="000000"/>
          <w:sz w:val="21"/>
          <w:szCs w:val="21"/>
          <w:highlight w:val="none"/>
        </w:rPr>
      </w:pPr>
      <w:r/>
      <w:bookmarkEnd w:id="11"/>
      <w:r/>
      <w:bookmarkEnd w:id="12"/>
      <w:r/>
      <w:bookmarkStart w:id="13" w:name="_Toc35393623"/>
      <w:r/>
      <w:bookmarkStart w:id="14" w:name="_Toc35393792"/>
      <w:r>
        <w:rPr>
          <w:rFonts w:hint="eastAsia" w:ascii="宋体" w:hAnsi="宋体" w:eastAsia="宋体" w:cs="宋体"/>
          <w:color w:val="000000"/>
          <w:sz w:val="21"/>
          <w:szCs w:val="21"/>
          <w:highlight w:val="none"/>
        </w:rPr>
        <w:t xml:space="preserve">三、获取采购文件</w:t>
      </w:r>
      <w:bookmarkEnd w:id="13"/>
      <w:r/>
      <w:bookmarkEnd w:id="14"/>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1.时间：</w:t>
      </w:r>
      <w:r>
        <w:rPr>
          <w:rFonts w:hint="eastAsia" w:ascii="宋体" w:hAnsi="宋体" w:eastAsia="宋体" w:cs="宋体"/>
          <w:b/>
          <w:bCs/>
          <w:color w:val="000000"/>
          <w:sz w:val="21"/>
          <w:szCs w:val="21"/>
          <w:highlight w:val="none"/>
          <w:u w:val="single"/>
          <w:lang w:val="en-US" w:eastAsia="zh-CN" w:bidi="ar"/>
        </w:rPr>
        <w:t xml:space="preserve">2025</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05</w:t>
      </w:r>
      <w:r>
        <w:rPr>
          <w:rFonts w:hint="eastAsia" w:ascii="宋体" w:hAnsi="宋体" w:eastAsia="宋体" w:cs="宋体"/>
          <w:b/>
          <w:bCs/>
          <w:color w:val="000000"/>
          <w:sz w:val="21"/>
          <w:szCs w:val="21"/>
          <w:highlight w:val="none"/>
          <w:lang w:bidi="ar"/>
        </w:rPr>
        <w:t xml:space="preserve">日至</w:t>
      </w:r>
      <w:r>
        <w:rPr>
          <w:rFonts w:hint="eastAsia" w:ascii="宋体" w:hAnsi="宋体" w:eastAsia="宋体" w:cs="宋体"/>
          <w:b/>
          <w:bCs/>
          <w:color w:val="000000"/>
          <w:sz w:val="21"/>
          <w:szCs w:val="21"/>
          <w:highlight w:val="none"/>
          <w:u w:val="single"/>
          <w:lang w:val="en-US" w:eastAsia="zh-CN"/>
        </w:rPr>
        <w:t xml:space="preserve">2025</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color w:val="000000"/>
          <w:sz w:val="21"/>
          <w:szCs w:val="21"/>
          <w:highlight w:val="none"/>
          <w:lang w:bidi="ar"/>
        </w:rPr>
        <w:t xml:space="preserve">，每天上午</w:t>
      </w:r>
      <w:r>
        <w:rPr>
          <w:rFonts w:hint="eastAsia" w:ascii="宋体" w:hAnsi="宋体" w:eastAsia="宋体" w:cs="宋体"/>
          <w:color w:val="000000"/>
          <w:sz w:val="21"/>
          <w:szCs w:val="21"/>
          <w:highlight w:val="none"/>
          <w:u w:val="single"/>
          <w:lang w:val="en-US" w:eastAsia="zh-CN"/>
        </w:rPr>
        <w:t xml:space="preserve">9:00</w:t>
      </w:r>
      <w:r>
        <w:rPr>
          <w:rFonts w:hint="eastAsia" w:ascii="宋体" w:hAnsi="宋体" w:eastAsia="宋体" w:cs="宋体"/>
          <w:color w:val="000000"/>
          <w:sz w:val="21"/>
          <w:szCs w:val="21"/>
          <w:highlight w:val="none"/>
          <w:lang w:bidi="ar"/>
        </w:rPr>
        <w:t xml:space="preserve">至</w:t>
      </w:r>
      <w:r>
        <w:rPr>
          <w:rFonts w:hint="eastAsia" w:ascii="宋体" w:hAnsi="宋体" w:cs="宋体"/>
          <w:color w:val="000000"/>
          <w:szCs w:val="21"/>
          <w:highlight w:val="none"/>
          <w:u w:val="single"/>
          <w:lang w:val="en-US" w:eastAsia="zh-CN"/>
        </w:rPr>
        <w:t xml:space="preserve">11</w:t>
      </w:r>
      <w:r>
        <w:rPr>
          <w:rFonts w:hint="eastAsia" w:ascii="宋体" w:hAnsi="宋体" w:cs="宋体"/>
          <w:color w:val="000000"/>
          <w:szCs w:val="21"/>
          <w:highlight w:val="none"/>
          <w:u w:val="single"/>
        </w:rPr>
        <w:t xml:space="preserve">:00</w:t>
      </w:r>
      <w:r>
        <w:rPr>
          <w:rFonts w:hint="eastAsia" w:ascii="宋体" w:hAnsi="宋体" w:eastAsia="宋体" w:cs="宋体"/>
          <w:color w:val="000000"/>
          <w:sz w:val="21"/>
          <w:szCs w:val="21"/>
          <w:highlight w:val="none"/>
          <w:lang w:bidi="ar"/>
        </w:rPr>
        <w:t xml:space="preserve">，下午</w:t>
      </w:r>
      <w:r>
        <w:rPr>
          <w:rFonts w:hint="eastAsia" w:ascii="宋体" w:hAnsi="宋体" w:cs="宋体"/>
          <w:color w:val="000000"/>
          <w:szCs w:val="21"/>
          <w:highlight w:val="none"/>
          <w:u w:val="single"/>
        </w:rPr>
        <w:t xml:space="preserve">13:</w:t>
      </w:r>
      <w:r>
        <w:rPr>
          <w:rFonts w:hint="eastAsia" w:ascii="宋体" w:hAnsi="宋体" w:cs="宋体"/>
          <w:color w:val="000000"/>
          <w:szCs w:val="21"/>
          <w:highlight w:val="none"/>
          <w:u w:val="single"/>
          <w:lang w:val="en-US" w:eastAsia="zh-CN"/>
        </w:rPr>
        <w:t xml:space="preserve">3</w:t>
      </w:r>
      <w:r>
        <w:rPr>
          <w:rFonts w:hint="eastAsia" w:ascii="宋体" w:hAnsi="宋体" w:cs="宋体"/>
          <w:color w:val="000000"/>
          <w:szCs w:val="21"/>
          <w:highlight w:val="none"/>
          <w:u w:val="single"/>
        </w:rPr>
        <w:t xml:space="preserve">0</w:t>
      </w:r>
      <w:r>
        <w:rPr>
          <w:rFonts w:hint="eastAsia" w:ascii="宋体" w:hAnsi="宋体" w:eastAsia="宋体" w:cs="宋体"/>
          <w:color w:val="000000"/>
          <w:sz w:val="21"/>
          <w:szCs w:val="21"/>
          <w:highlight w:val="none"/>
          <w:lang w:bidi="ar"/>
        </w:rPr>
        <w:t xml:space="preserve">至</w:t>
      </w:r>
      <w:r>
        <w:rPr>
          <w:rFonts w:hint="eastAsia" w:ascii="宋体" w:hAnsi="宋体" w:cs="宋体"/>
          <w:color w:val="000000"/>
          <w:szCs w:val="21"/>
          <w:highlight w:val="none"/>
          <w:u w:val="single"/>
        </w:rPr>
        <w:t xml:space="preserve">1</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0</w:t>
      </w:r>
      <w:r>
        <w:rPr>
          <w:rFonts w:hint="eastAsia" w:ascii="宋体" w:hAnsi="宋体" w:cs="宋体"/>
          <w:color w:val="000000"/>
          <w:szCs w:val="21"/>
          <w:highlight w:val="none"/>
          <w:u w:val="single"/>
        </w:rPr>
        <w:t xml:space="preserve">0</w:t>
      </w:r>
      <w:r>
        <w:rPr>
          <w:rFonts w:hint="eastAsia" w:ascii="宋体" w:hAnsi="宋体" w:eastAsia="宋体" w:cs="宋体"/>
          <w:color w:val="000000"/>
          <w:sz w:val="21"/>
          <w:szCs w:val="21"/>
          <w:highlight w:val="none"/>
          <w:lang w:bidi="ar"/>
        </w:rPr>
        <w:t xml:space="preserve">（北京时间，法定节假日除外）。</w:t>
      </w:r>
      <w:r>
        <w:rPr>
          <w:rFonts w:hint="eastAsia" w:ascii="宋体" w:hAnsi="宋体" w:eastAsia="宋体" w:cs="宋体"/>
          <w:color w:val="000000"/>
          <w:sz w:val="21"/>
          <w:szCs w:val="21"/>
          <w:highlight w:val="none"/>
          <w:lang w:bidi="ar"/>
        </w:rPr>
      </w:r>
      <w:r/>
    </w:p>
    <w:p>
      <w:pPr>
        <w:pStyle w:val="1197"/>
        <w:ind w:firstLine="420"/>
        <w:jc w:val="left"/>
        <w:spacing w:line="36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2.地点：</w:t>
      </w:r>
      <w:r>
        <w:rPr>
          <w:rFonts w:hint="eastAsia" w:ascii="宋体" w:hAnsi="宋体" w:eastAsia="宋体" w:cs="宋体"/>
          <w:color w:val="000000"/>
          <w:sz w:val="21"/>
          <w:szCs w:val="21"/>
          <w:highlight w:val="none"/>
          <w:lang w:eastAsia="zh-CN" w:bidi="ar"/>
        </w:rPr>
        <w:t xml:space="preserve">“苏采云”政府采购一体化平台</w:t>
      </w:r>
      <w:r>
        <w:rPr>
          <w:rFonts w:hint="eastAsia" w:ascii="宋体" w:hAnsi="宋体" w:eastAsia="宋体" w:cs="宋体"/>
          <w:color w:val="000000"/>
          <w:sz w:val="21"/>
          <w:szCs w:val="21"/>
          <w:highlight w:val="none"/>
          <w:lang w:eastAsia="zh-CN" w:bidi="ar"/>
        </w:rPr>
      </w:r>
      <w:r/>
    </w:p>
    <w:p>
      <w:pPr>
        <w:pStyle w:val="1197"/>
        <w:ind w:firstLine="42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方式：供应商持CA数字认证证书登录“苏采云”政府采购一体化平台（http://jszfcg.jsczt.cn/jszc/login）获取电子版磋商文件。</w:t>
      </w:r>
      <w:r>
        <w:rPr>
          <w:rFonts w:hint="eastAsia" w:ascii="宋体" w:hAnsi="宋体" w:eastAsia="宋体" w:cs="宋体"/>
          <w:color w:val="000000"/>
          <w:sz w:val="21"/>
          <w:szCs w:val="21"/>
          <w:highlight w:val="none"/>
          <w:lang w:eastAsia="zh-CN" w:bidi="ar"/>
        </w:rPr>
      </w:r>
      <w:r/>
    </w:p>
    <w:p>
      <w:pPr>
        <w:pStyle w:val="1197"/>
        <w:numPr>
          <w:ilvl w:val="0"/>
          <w:numId w:val="0"/>
        </w:num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4.售价：0元。</w:t>
      </w:r>
      <w:r>
        <w:rPr>
          <w:rFonts w:hint="eastAsia" w:ascii="宋体" w:hAnsi="宋体" w:eastAsia="宋体" w:cs="宋体"/>
          <w:color w:val="000000"/>
          <w:sz w:val="21"/>
          <w:szCs w:val="21"/>
          <w:highlight w:val="none"/>
          <w:lang w:val="en-US" w:eastAsia="zh-CN"/>
        </w:rPr>
      </w:r>
      <w:r/>
    </w:p>
    <w:p>
      <w:pPr>
        <w:pStyle w:val="1199"/>
        <w:jc w:val="left"/>
        <w:spacing w:before="0" w:line="360" w:lineRule="auto"/>
        <w:widowControl/>
        <w:rPr>
          <w:rFonts w:hint="eastAsia" w:ascii="宋体" w:hAnsi="宋体" w:eastAsia="宋体" w:cs="宋体"/>
          <w:color w:val="000000"/>
          <w:sz w:val="21"/>
          <w:szCs w:val="21"/>
          <w:highlight w:val="none"/>
        </w:rPr>
      </w:pPr>
      <w:r/>
      <w:bookmarkStart w:id="15" w:name="_Toc28359082"/>
      <w:r/>
      <w:bookmarkStart w:id="16" w:name="_Toc35393624"/>
      <w:r/>
      <w:bookmarkStart w:id="17" w:name="_Toc35393793"/>
      <w:r/>
      <w:bookmarkStart w:id="18" w:name="_Toc28359005"/>
      <w:r>
        <w:rPr>
          <w:rFonts w:hint="eastAsia" w:ascii="宋体" w:hAnsi="宋体" w:eastAsia="宋体" w:cs="宋体"/>
          <w:color w:val="000000"/>
          <w:sz w:val="21"/>
          <w:szCs w:val="21"/>
          <w:highlight w:val="none"/>
        </w:rPr>
        <w:t xml:space="preserve">四、</w:t>
      </w:r>
      <w:bookmarkEnd w:id="15"/>
      <w:r/>
      <w:bookmarkEnd w:id="16"/>
      <w:r/>
      <w:bookmarkEnd w:id="17"/>
      <w:r/>
      <w:bookmarkEnd w:id="18"/>
      <w:r>
        <w:rPr>
          <w:rFonts w:hint="eastAsia" w:ascii="宋体" w:hAnsi="宋体" w:eastAsia="宋体" w:cs="宋体"/>
          <w:color w:val="000000"/>
          <w:sz w:val="21"/>
          <w:szCs w:val="21"/>
          <w:highlight w:val="none"/>
        </w:rPr>
        <w:t xml:space="preserve">响应文件提交</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截止时间：</w:t>
      </w:r>
      <w:r>
        <w:rPr>
          <w:rFonts w:hint="eastAsia" w:ascii="宋体" w:hAnsi="宋体" w:eastAsia="宋体" w:cs="宋体"/>
          <w:b/>
          <w:bCs/>
          <w:color w:val="000000"/>
          <w:sz w:val="21"/>
          <w:szCs w:val="21"/>
          <w:highlight w:val="none"/>
          <w:u w:val="single"/>
          <w:lang w:val="en-US" w:eastAsia="zh-CN" w:bidi="ar"/>
        </w:rPr>
        <w:t xml:space="preserve">2025</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18</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b/>
          <w:bCs/>
          <w:color w:val="000000"/>
          <w:sz w:val="21"/>
          <w:szCs w:val="21"/>
          <w:highlight w:val="none"/>
          <w:u w:val="single"/>
          <w:lang w:val="en-US" w:eastAsia="zh-CN" w:bidi="ar"/>
        </w:rPr>
        <w:t xml:space="preserve">14</w:t>
      </w:r>
      <w:r>
        <w:rPr>
          <w:rFonts w:hint="eastAsia" w:ascii="宋体" w:hAnsi="宋体" w:eastAsia="宋体" w:cs="宋体"/>
          <w:b/>
          <w:bCs/>
          <w:color w:val="000000"/>
          <w:sz w:val="21"/>
          <w:szCs w:val="21"/>
          <w:highlight w:val="none"/>
          <w:lang w:bidi="ar"/>
        </w:rPr>
        <w:t xml:space="preserve">点</w:t>
      </w:r>
      <w:r>
        <w:rPr>
          <w:rFonts w:hint="eastAsia" w:ascii="宋体" w:hAnsi="宋体" w:eastAsia="宋体" w:cs="宋体"/>
          <w:b/>
          <w:bCs/>
          <w:color w:val="000000"/>
          <w:sz w:val="21"/>
          <w:szCs w:val="21"/>
          <w:highlight w:val="none"/>
          <w:u w:val="single"/>
          <w:lang w:val="en-US" w:eastAsia="zh-CN" w:bidi="ar"/>
        </w:rPr>
        <w:t xml:space="preserve">00</w:t>
      </w:r>
      <w:r>
        <w:rPr>
          <w:rFonts w:hint="eastAsia" w:ascii="宋体" w:hAnsi="宋体" w:eastAsia="宋体" w:cs="宋体"/>
          <w:b/>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t xml:space="preserve">（北京时间）</w:t>
      </w:r>
      <w:r>
        <w:rPr>
          <w:rFonts w:hint="eastAsia" w:ascii="宋体" w:hAnsi="宋体" w:eastAsia="宋体" w:cs="宋体"/>
          <w:iCs/>
          <w:color w:val="000000"/>
          <w:sz w:val="21"/>
          <w:szCs w:val="21"/>
          <w:highlight w:val="none"/>
          <w:lang w:bidi="ar"/>
        </w:rPr>
        <w:t xml:space="preserve">。</w:t>
      </w:r>
      <w:r>
        <w:rPr>
          <w:rFonts w:hint="eastAsia" w:ascii="宋体" w:hAnsi="宋体" w:eastAsia="宋体" w:cs="宋体"/>
          <w:bCs/>
          <w:color w:val="000000"/>
          <w:sz w:val="21"/>
          <w:szCs w:val="21"/>
          <w:highlight w:val="none"/>
          <w:u w:val="single"/>
        </w:rPr>
      </w:r>
      <w:r/>
    </w:p>
    <w:p>
      <w:pPr>
        <w:pStyle w:val="1197"/>
        <w:ind w:firstLine="420"/>
        <w:spacing w:line="360" w:lineRule="auto"/>
        <w:rPr>
          <w:rFonts w:hint="eastAsia" w:ascii="宋体" w:hAnsi="宋体" w:eastAsia="宋体" w:cs="宋体"/>
          <w:color w:val="000000"/>
          <w:sz w:val="21"/>
          <w:szCs w:val="21"/>
          <w:highlight w:val="none"/>
          <w:lang w:val="zh-TW" w:bidi="ar"/>
        </w:rPr>
      </w:pPr>
      <w:r>
        <w:rPr>
          <w:rFonts w:hint="eastAsia" w:ascii="宋体" w:hAnsi="宋体" w:eastAsia="宋体" w:cs="宋体"/>
          <w:color w:val="000000"/>
          <w:sz w:val="21"/>
          <w:szCs w:val="21"/>
          <w:highlight w:val="none"/>
          <w:lang w:bidi="ar"/>
        </w:rPr>
        <w:t xml:space="preserve">地点：本项目采用不见面交易方式，无需到现场提交，供应商登录“苏采云”政府采购一体化平台供应商端，通过系统在线提交电子响应文件</w:t>
      </w:r>
      <w:r>
        <w:rPr>
          <w:rFonts w:hint="eastAsia" w:ascii="宋体" w:hAnsi="宋体" w:eastAsia="宋体" w:cs="宋体"/>
          <w:color w:val="000000"/>
          <w:sz w:val="21"/>
          <w:szCs w:val="21"/>
          <w:highlight w:val="none"/>
          <w:lang w:val="zh-TW" w:bidi="ar"/>
        </w:rPr>
        <w:t xml:space="preserve">。</w:t>
      </w:r>
      <w:r>
        <w:rPr>
          <w:rFonts w:hint="eastAsia" w:ascii="宋体" w:hAnsi="宋体" w:eastAsia="宋体" w:cs="宋体"/>
          <w:color w:val="000000"/>
          <w:sz w:val="21"/>
          <w:szCs w:val="21"/>
          <w:highlight w:val="none"/>
          <w:lang w:val="zh-TW" w:bidi="ar"/>
        </w:rPr>
      </w:r>
      <w:r/>
    </w:p>
    <w:p>
      <w:pPr>
        <w:pStyle w:val="1199"/>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五、开启</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时间：</w:t>
      </w:r>
      <w:r>
        <w:rPr>
          <w:rFonts w:hint="eastAsia" w:ascii="宋体" w:hAnsi="宋体" w:eastAsia="宋体" w:cs="宋体"/>
          <w:b/>
          <w:bCs/>
          <w:color w:val="000000"/>
          <w:sz w:val="21"/>
          <w:szCs w:val="21"/>
          <w:highlight w:val="none"/>
          <w:u w:val="single"/>
          <w:lang w:val="en-US" w:eastAsia="zh-CN" w:bidi="ar"/>
        </w:rPr>
        <w:t xml:space="preserve">2025</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12</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18</w:t>
      </w:r>
      <w:r>
        <w:rPr>
          <w:rFonts w:hint="eastAsia" w:ascii="宋体" w:hAnsi="宋体" w:eastAsia="宋体" w:cs="宋体"/>
          <w:b/>
          <w:bCs/>
          <w:color w:val="000000"/>
          <w:sz w:val="21"/>
          <w:szCs w:val="21"/>
          <w:highlight w:val="none"/>
          <w:lang w:bidi="ar"/>
        </w:rPr>
        <w:t xml:space="preserve">日</w:t>
      </w:r>
      <w:r>
        <w:rPr>
          <w:rFonts w:hint="eastAsia" w:ascii="宋体" w:hAnsi="宋体" w:eastAsia="宋体" w:cs="宋体"/>
          <w:b/>
          <w:bCs/>
          <w:color w:val="000000"/>
          <w:sz w:val="21"/>
          <w:szCs w:val="21"/>
          <w:highlight w:val="none"/>
          <w:u w:val="single"/>
          <w:lang w:val="en-US" w:eastAsia="zh-CN" w:bidi="ar"/>
        </w:rPr>
        <w:t xml:space="preserve">14</w:t>
      </w:r>
      <w:r>
        <w:rPr>
          <w:rFonts w:hint="eastAsia" w:ascii="宋体" w:hAnsi="宋体" w:eastAsia="宋体" w:cs="宋体"/>
          <w:b/>
          <w:bCs/>
          <w:color w:val="000000"/>
          <w:sz w:val="21"/>
          <w:szCs w:val="21"/>
          <w:highlight w:val="none"/>
          <w:lang w:bidi="ar"/>
        </w:rPr>
        <w:t xml:space="preserve">点</w:t>
      </w:r>
      <w:r>
        <w:rPr>
          <w:rFonts w:hint="eastAsia" w:ascii="宋体" w:hAnsi="宋体" w:eastAsia="宋体" w:cs="宋体"/>
          <w:b/>
          <w:bCs/>
          <w:color w:val="000000"/>
          <w:sz w:val="21"/>
          <w:szCs w:val="21"/>
          <w:highlight w:val="none"/>
          <w:u w:val="single"/>
          <w:lang w:val="en-US" w:eastAsia="zh-CN" w:bidi="ar"/>
        </w:rPr>
        <w:t xml:space="preserve">00</w:t>
      </w:r>
      <w:r>
        <w:rPr>
          <w:rFonts w:hint="eastAsia" w:ascii="宋体" w:hAnsi="宋体" w:eastAsia="宋体" w:cs="宋体"/>
          <w:b/>
          <w:bCs/>
          <w:color w:val="000000"/>
          <w:sz w:val="21"/>
          <w:szCs w:val="21"/>
          <w:highlight w:val="none"/>
          <w:lang w:bidi="ar"/>
        </w:rPr>
        <w:t xml:space="preserve">分</w:t>
      </w:r>
      <w:r>
        <w:rPr>
          <w:rFonts w:hint="eastAsia" w:ascii="宋体" w:hAnsi="宋体" w:eastAsia="宋体" w:cs="宋体"/>
          <w:bCs/>
          <w:color w:val="000000"/>
          <w:sz w:val="21"/>
          <w:szCs w:val="21"/>
          <w:highlight w:val="none"/>
          <w:lang w:bidi="ar"/>
        </w:rPr>
        <w:t xml:space="preserve">（北京时间）</w:t>
      </w:r>
      <w:r>
        <w:rPr>
          <w:rFonts w:hint="eastAsia" w:ascii="宋体" w:hAnsi="宋体" w:eastAsia="宋体" w:cs="宋体"/>
          <w:iCs/>
          <w:color w:val="000000"/>
          <w:sz w:val="21"/>
          <w:szCs w:val="21"/>
          <w:highlight w:val="none"/>
          <w:lang w:bidi="ar"/>
        </w:rPr>
        <w:t xml:space="preserve">。</w:t>
      </w:r>
      <w:r>
        <w:rPr>
          <w:rFonts w:hint="eastAsia" w:ascii="宋体" w:hAnsi="宋体" w:eastAsia="宋体" w:cs="宋体"/>
          <w:bCs/>
          <w:color w:val="000000"/>
          <w:sz w:val="21"/>
          <w:szCs w:val="21"/>
          <w:highlight w:val="none"/>
          <w:u w:val="single"/>
        </w:rPr>
      </w:r>
      <w:r/>
    </w:p>
    <w:p>
      <w:pPr>
        <w:pStyle w:val="1197"/>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地点：本项目采用不见面交易方式，无需到现场提交，供应商登录“苏采云”政府采购交易系统网上开标大厅，通过系统在线解密电子响应文件</w:t>
      </w:r>
      <w:r>
        <w:rPr>
          <w:rFonts w:hint="eastAsia" w:ascii="宋体" w:hAnsi="宋体" w:eastAsia="宋体" w:cs="宋体"/>
          <w:color w:val="000000"/>
          <w:sz w:val="21"/>
          <w:szCs w:val="21"/>
          <w:highlight w:val="none"/>
          <w:lang w:val="zh-TW" w:bidi="ar"/>
        </w:rPr>
        <w:t xml:space="preserve">。</w:t>
      </w:r>
      <w:r>
        <w:rPr>
          <w:rFonts w:hint="eastAsia" w:ascii="宋体" w:hAnsi="宋体" w:eastAsia="宋体" w:cs="宋体"/>
          <w:bCs/>
          <w:color w:val="000000"/>
          <w:sz w:val="21"/>
          <w:szCs w:val="21"/>
          <w:highlight w:val="none"/>
          <w:u w:val="single"/>
        </w:rPr>
      </w:r>
      <w:r/>
    </w:p>
    <w:p>
      <w:pPr>
        <w:pStyle w:val="1199"/>
        <w:jc w:val="left"/>
        <w:spacing w:before="0" w:line="360" w:lineRule="auto"/>
        <w:rPr>
          <w:rFonts w:hint="eastAsia" w:ascii="宋体" w:hAnsi="宋体" w:eastAsia="宋体" w:cs="宋体"/>
          <w:color w:val="000000"/>
          <w:sz w:val="21"/>
          <w:szCs w:val="21"/>
          <w:highlight w:val="none"/>
        </w:rPr>
      </w:pPr>
      <w:r/>
      <w:bookmarkStart w:id="19" w:name="_Toc28359007"/>
      <w:r/>
      <w:bookmarkStart w:id="20" w:name="_Toc35393794"/>
      <w:r/>
      <w:bookmarkStart w:id="21" w:name="_Toc35393625"/>
      <w:r/>
      <w:bookmarkStart w:id="22" w:name="_Toc28359084"/>
      <w:r>
        <w:rPr>
          <w:rFonts w:hint="eastAsia" w:ascii="宋体" w:hAnsi="宋体" w:eastAsia="宋体" w:cs="宋体"/>
          <w:color w:val="000000"/>
          <w:sz w:val="21"/>
          <w:szCs w:val="21"/>
          <w:highlight w:val="none"/>
        </w:rPr>
        <w:t xml:space="preserve">六、公告期限</w:t>
      </w:r>
      <w:bookmarkEnd w:id="19"/>
      <w:r/>
      <w:bookmarkEnd w:id="20"/>
      <w:r/>
      <w:bookmarkEnd w:id="21"/>
      <w:r/>
      <w:bookmarkEnd w:id="22"/>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自本公告发布之日起3个工作日。</w:t>
      </w:r>
      <w:r>
        <w:rPr>
          <w:rFonts w:hint="eastAsia" w:ascii="宋体" w:hAnsi="宋体" w:eastAsia="宋体" w:cs="宋体"/>
          <w:color w:val="000000"/>
          <w:sz w:val="21"/>
          <w:szCs w:val="21"/>
          <w:highlight w:val="none"/>
        </w:rPr>
      </w:r>
      <w:r/>
    </w:p>
    <w:p>
      <w:pPr>
        <w:pStyle w:val="1199"/>
        <w:jc w:val="left"/>
        <w:spacing w:before="0" w:line="360" w:lineRule="auto"/>
        <w:rPr>
          <w:rFonts w:hint="eastAsia" w:ascii="宋体" w:hAnsi="宋体" w:eastAsia="宋体" w:cs="宋体"/>
          <w:color w:val="000000"/>
          <w:sz w:val="21"/>
          <w:szCs w:val="21"/>
          <w:highlight w:val="none"/>
        </w:rPr>
      </w:pPr>
      <w:r/>
      <w:bookmarkStart w:id="23" w:name="_Toc35393795"/>
      <w:r/>
      <w:bookmarkStart w:id="24" w:name="_Toc35393626"/>
      <w:r>
        <w:rPr>
          <w:rFonts w:hint="eastAsia" w:ascii="宋体" w:hAnsi="宋体" w:eastAsia="宋体" w:cs="宋体"/>
          <w:color w:val="000000"/>
          <w:sz w:val="21"/>
          <w:szCs w:val="21"/>
          <w:highlight w:val="none"/>
        </w:rPr>
        <w:t xml:space="preserve">七、其他补充事宜</w:t>
      </w:r>
      <w:bookmarkEnd w:id="23"/>
      <w:r/>
      <w:bookmarkEnd w:id="24"/>
      <w:r>
        <w:rPr>
          <w:rFonts w:hint="eastAsia" w:ascii="宋体" w:hAnsi="宋体" w:eastAsia="宋体" w:cs="宋体"/>
          <w:color w:val="000000"/>
          <w:sz w:val="21"/>
          <w:szCs w:val="21"/>
          <w:highlight w:val="none"/>
        </w:rPr>
      </w:r>
      <w:r/>
    </w:p>
    <w:p>
      <w:pPr>
        <w:pStyle w:val="1197"/>
        <w:ind w:firstLine="422"/>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rPr>
        <w:t xml:space="preserve">1.本项目需要落实的政府采购政策：</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p>
      <w:pPr>
        <w:pStyle w:val="1197"/>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.磋商保证金</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Cs w:val="21"/>
          <w:highlight w:val="none"/>
        </w:rPr>
        <w:t xml:space="preserve">本项目不收取磋商保证金。</w:t>
      </w:r>
      <w:r>
        <w:rPr>
          <w:rFonts w:hint="eastAsia" w:ascii="宋体" w:hAnsi="宋体" w:eastAsia="宋体" w:cs="宋体"/>
          <w:color w:val="000000"/>
          <w:szCs w:val="21"/>
          <w:highlight w:val="none"/>
        </w:rPr>
      </w:r>
      <w:r/>
    </w:p>
    <w:p>
      <w:pPr>
        <w:pStyle w:val="1197"/>
        <w:ind w:firstLine="420"/>
        <w:jc w:val="left"/>
        <w:spacing w:line="360" w:lineRule="auto"/>
        <w:widowControl/>
        <w:rPr>
          <w:rFonts w:hint="eastAsia" w:ascii="宋体" w:hAnsi="宋体" w:cs="宋体"/>
          <w:bCs/>
          <w:color w:val="000000"/>
          <w:szCs w:val="21"/>
          <w:highlight w:val="none"/>
          <w:lang w:bidi="ar"/>
        </w:rPr>
      </w:pPr>
      <w:r>
        <w:rPr>
          <w:rFonts w:hint="eastAsia" w:ascii="宋体" w:hAnsi="宋体" w:cs="宋体"/>
          <w:color w:val="000000"/>
          <w:szCs w:val="21"/>
          <w:highlight w:val="none"/>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color w:val="000000"/>
          <w:szCs w:val="21"/>
          <w:highlight w:val="none"/>
          <w:lang w:bidi="ar"/>
        </w:rPr>
        <w:t xml:space="preserve">数字认证证书情况确认是否符合本项目电子化采购流程要求。</w:t>
      </w:r>
      <w:r>
        <w:rPr>
          <w:rFonts w:hint="eastAsia" w:ascii="宋体" w:hAnsi="宋体" w:cs="宋体"/>
          <w:bCs/>
          <w:color w:val="000000"/>
          <w:szCs w:val="21"/>
          <w:highlight w:val="none"/>
          <w:lang w:bidi="ar"/>
        </w:rPr>
      </w:r>
      <w:r/>
    </w:p>
    <w:p>
      <w:pPr>
        <w:pStyle w:val="119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技术支持服务热线    0519-8558 8210、0519-8558 8163</w:t>
      </w:r>
      <w:r>
        <w:rPr>
          <w:rFonts w:hint="eastAsia" w:ascii="宋体" w:hAnsi="宋体" w:cs="宋体"/>
          <w:color w:val="000000"/>
          <w:szCs w:val="21"/>
          <w:highlight w:val="none"/>
        </w:rPr>
      </w:r>
      <w:r/>
    </w:p>
    <w:p>
      <w:pPr>
        <w:pStyle w:val="1197"/>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CA认证证书办理（现场办理）联系电话   0519-8558 8120</w:t>
      </w:r>
      <w:r>
        <w:rPr>
          <w:rFonts w:hint="eastAsia" w:ascii="宋体" w:hAnsi="宋体" w:cs="宋体"/>
          <w:color w:val="000000"/>
          <w:szCs w:val="21"/>
          <w:highlight w:val="none"/>
          <w:lang w:bidi="ar"/>
        </w:rPr>
      </w:r>
      <w:r/>
    </w:p>
    <w:p>
      <w:pPr>
        <w:pStyle w:val="1197"/>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3.1办理CA认证证书</w:t>
      </w:r>
      <w:r>
        <w:rPr>
          <w:rFonts w:hint="eastAsia" w:ascii="宋体" w:hAnsi="宋体" w:cs="宋体"/>
          <w:color w:val="000000"/>
          <w:szCs w:val="21"/>
          <w:highlight w:val="none"/>
          <w:lang w:bidi="ar"/>
        </w:rPr>
      </w:r>
      <w:r/>
    </w:p>
    <w:p>
      <w:pPr>
        <w:pStyle w:val="1197"/>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供应商登录常州市政府采购网“下载中心”下载并查阅 “</w:t>
      </w:r>
      <w:r>
        <w:rPr>
          <w:rFonts w:hint="eastAsia" w:ascii="宋体" w:hAnsi="宋体" w:cs="宋体"/>
          <w:color w:val="000000"/>
          <w:szCs w:val="21"/>
          <w:highlight w:val="none"/>
        </w:rPr>
        <w:t xml:space="preserve">“苏采云”政府采购一体化平台</w:t>
      </w:r>
      <w:r>
        <w:rPr>
          <w:rFonts w:hint="eastAsia" w:ascii="宋体" w:hAnsi="宋体" w:cs="宋体"/>
          <w:color w:val="000000"/>
          <w:szCs w:val="21"/>
          <w:highlight w:val="none"/>
          <w:lang w:bidi="ar"/>
        </w:rPr>
        <w:t xml:space="preserve">（供应商）江苏省政府采购数字证书CA及电子签章办理指南”，按照程序要求办理。</w:t>
      </w:r>
      <w:r>
        <w:rPr>
          <w:rFonts w:hint="eastAsia" w:ascii="宋体" w:hAnsi="宋体" w:cs="宋体"/>
          <w:color w:val="000000"/>
          <w:szCs w:val="21"/>
          <w:highlight w:val="none"/>
        </w:rPr>
      </w:r>
      <w:r/>
    </w:p>
    <w:p>
      <w:pPr>
        <w:pStyle w:val="119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3.2注册</w:t>
      </w:r>
      <w:r>
        <w:rPr>
          <w:rFonts w:hint="eastAsia" w:ascii="宋体" w:hAnsi="宋体" w:cs="宋体"/>
          <w:color w:val="000000"/>
          <w:szCs w:val="21"/>
          <w:highlight w:val="none"/>
          <w:lang w:bidi="ar"/>
        </w:rPr>
      </w:r>
      <w:r/>
    </w:p>
    <w:p>
      <w:pPr>
        <w:pStyle w:val="119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highlight w:val="none"/>
        </w:rPr>
      </w:r>
      <w:r/>
    </w:p>
    <w:p>
      <w:pPr>
        <w:pStyle w:val="1197"/>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3.3控件、客户端下载</w:t>
      </w:r>
      <w:r>
        <w:rPr>
          <w:rFonts w:hint="eastAsia" w:ascii="宋体" w:hAnsi="宋体" w:cs="宋体"/>
          <w:color w:val="000000"/>
          <w:szCs w:val="21"/>
          <w:highlight w:val="none"/>
          <w:lang w:bidi="ar"/>
        </w:rPr>
      </w:r>
      <w:r/>
    </w:p>
    <w:p>
      <w:pPr>
        <w:pStyle w:val="1197"/>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供应商登录常州市政府采购网“下载中心”-“政府采购管理交易系统（苏采云）CA及签章控件驱动”下载相关控件和客户端。</w:t>
      </w:r>
      <w:r>
        <w:rPr>
          <w:rFonts w:hint="eastAsia" w:ascii="宋体" w:hAnsi="宋体" w:cs="宋体"/>
          <w:color w:val="000000"/>
          <w:szCs w:val="21"/>
          <w:highlight w:val="none"/>
        </w:rPr>
      </w:r>
      <w:r/>
    </w:p>
    <w:p>
      <w:pPr>
        <w:pStyle w:val="119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 获取电子磋商文件</w:t>
      </w:r>
      <w:r>
        <w:rPr>
          <w:rFonts w:hint="eastAsia" w:ascii="宋体" w:hAnsi="宋体" w:cs="宋体"/>
          <w:color w:val="000000"/>
          <w:szCs w:val="21"/>
          <w:highlight w:val="none"/>
          <w:lang w:bidi="ar"/>
        </w:rPr>
      </w:r>
      <w:r/>
    </w:p>
    <w:p>
      <w:pPr>
        <w:pStyle w:val="119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供应商持CA数字认证证书登录“苏采云”政府采购一体化平台获取电子</w:t>
      </w:r>
      <w:r>
        <w:rPr>
          <w:rFonts w:hint="eastAsia" w:ascii="宋体" w:hAnsi="宋体" w:cs="宋体"/>
          <w:color w:val="000000"/>
          <w:szCs w:val="21"/>
          <w:highlight w:val="none"/>
          <w:lang w:bidi="ar"/>
        </w:rPr>
        <w:t xml:space="preserve">磋商文件</w:t>
      </w:r>
      <w:r>
        <w:rPr>
          <w:rFonts w:hint="eastAsia" w:ascii="宋体" w:hAnsi="宋体" w:cs="宋体"/>
          <w:color w:val="000000"/>
          <w:szCs w:val="21"/>
          <w:highlight w:val="none"/>
          <w:lang w:bidi="ar"/>
        </w:rPr>
        <w:t xml:space="preserve">。未在规定期限内通过“苏采云”政府采购一体化平台获取</w:t>
      </w:r>
      <w:r>
        <w:rPr>
          <w:rFonts w:hint="eastAsia" w:ascii="宋体" w:hAnsi="宋体" w:cs="宋体"/>
          <w:color w:val="000000"/>
          <w:szCs w:val="21"/>
          <w:highlight w:val="none"/>
          <w:lang w:bidi="ar"/>
        </w:rPr>
        <w:t xml:space="preserve">磋商文件</w:t>
      </w:r>
      <w:r>
        <w:rPr>
          <w:rFonts w:hint="eastAsia" w:ascii="宋体" w:hAnsi="宋体" w:cs="宋体"/>
          <w:color w:val="000000"/>
          <w:szCs w:val="21"/>
          <w:highlight w:val="none"/>
          <w:lang w:bidi="ar"/>
        </w:rPr>
        <w:t xml:space="preserve">的</w:t>
      </w:r>
      <w:r>
        <w:rPr>
          <w:rFonts w:hint="eastAsia" w:ascii="宋体" w:hAnsi="宋体" w:cs="宋体"/>
          <w:b/>
          <w:color w:val="000000"/>
          <w:szCs w:val="21"/>
          <w:highlight w:val="none"/>
          <w:lang w:bidi="ar"/>
        </w:rPr>
        <w:t xml:space="preserve">投标无效</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19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3.5编制电子响应文件</w:t>
      </w:r>
      <w:r>
        <w:rPr>
          <w:rFonts w:hint="eastAsia" w:ascii="宋体" w:hAnsi="宋体" w:cs="宋体"/>
          <w:color w:val="000000"/>
          <w:szCs w:val="21"/>
          <w:highlight w:val="none"/>
          <w:lang w:bidi="ar"/>
        </w:rPr>
      </w:r>
      <w:r/>
    </w:p>
    <w:p>
      <w:pPr>
        <w:pStyle w:val="119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color w:val="000000"/>
          <w:szCs w:val="21"/>
          <w:highlight w:val="none"/>
          <w:lang w:bidi="ar"/>
        </w:rPr>
      </w:r>
      <w:r/>
    </w:p>
    <w:p>
      <w:pPr>
        <w:pStyle w:val="1197"/>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eastAsia="zh-TW" w:bidi="ar"/>
        </w:rPr>
        <w:t xml:space="preserve">3.6</w:t>
      </w:r>
      <w:r>
        <w:rPr>
          <w:rFonts w:hint="eastAsia" w:ascii="宋体" w:hAnsi="宋体" w:cs="宋体"/>
          <w:color w:val="000000"/>
          <w:szCs w:val="21"/>
          <w:highlight w:val="none"/>
          <w:lang w:val="zh-TW" w:bidi="ar"/>
        </w:rPr>
        <w:t xml:space="preserve">提交电子响应文件</w:t>
      </w:r>
      <w:r>
        <w:rPr>
          <w:rFonts w:hint="eastAsia" w:ascii="宋体" w:hAnsi="宋体" w:cs="宋体"/>
          <w:color w:val="000000"/>
          <w:szCs w:val="21"/>
          <w:highlight w:val="none"/>
          <w:lang w:val="zh-TW" w:bidi="ar"/>
        </w:rPr>
      </w:r>
      <w:r/>
    </w:p>
    <w:p>
      <w:pPr>
        <w:pStyle w:val="1197"/>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供应商应于响应截止时间前在“苏采云”政府采购一体化平台提交电子响应文件，上传电子响应文件过程中请保持与互联网的连接畅通。</w:t>
      </w:r>
      <w:r>
        <w:rPr>
          <w:rFonts w:hint="eastAsia" w:ascii="宋体" w:hAnsi="宋体" w:cs="宋体"/>
          <w:color w:val="000000"/>
          <w:szCs w:val="21"/>
          <w:highlight w:val="none"/>
          <w:lang w:val="zh-TW" w:bidi="ar"/>
        </w:rPr>
      </w:r>
      <w:r/>
    </w:p>
    <w:p>
      <w:pPr>
        <w:pStyle w:val="1197"/>
        <w:ind w:firstLine="420"/>
        <w:jc w:val="left"/>
        <w:spacing w:line="360" w:lineRule="auto"/>
        <w:widowControl/>
        <w:rPr>
          <w:rFonts w:hint="eastAsia" w:ascii="宋体" w:hAnsi="宋体" w:cs="宋体"/>
          <w:color w:val="000000"/>
          <w:szCs w:val="21"/>
          <w:highlight w:val="none"/>
          <w:lang w:eastAsia="zh-TW" w:bidi="ar"/>
        </w:rPr>
      </w:pPr>
      <w:r>
        <w:rPr>
          <w:rFonts w:hint="eastAsia" w:ascii="宋体" w:hAnsi="宋体" w:cs="宋体"/>
          <w:color w:val="000000"/>
          <w:szCs w:val="21"/>
          <w:highlight w:val="none"/>
          <w:lang w:val="zh-TW" w:bidi="ar"/>
        </w:rPr>
        <w:t xml:space="preserve">3.</w:t>
      </w:r>
      <w:r>
        <w:rPr>
          <w:rFonts w:hint="eastAsia" w:ascii="宋体" w:hAnsi="宋体" w:cs="宋体"/>
          <w:color w:val="000000"/>
          <w:szCs w:val="21"/>
          <w:highlight w:val="none"/>
          <w:lang w:val="zh-TW" w:eastAsia="zh-TW" w:bidi="ar"/>
        </w:rPr>
        <w:t xml:space="preserve">7</w:t>
      </w:r>
      <w:r>
        <w:rPr>
          <w:rFonts w:hint="eastAsia" w:ascii="宋体" w:hAnsi="宋体" w:cs="宋体"/>
          <w:color w:val="000000"/>
          <w:szCs w:val="21"/>
          <w:highlight w:val="none"/>
          <w:lang w:val="zh-TW" w:bidi="ar"/>
        </w:rPr>
        <w:t xml:space="preserve">电子开标</w:t>
      </w:r>
      <w:r>
        <w:rPr>
          <w:rFonts w:hint="eastAsia" w:ascii="宋体" w:hAnsi="宋体" w:cs="宋体"/>
          <w:color w:val="000000"/>
          <w:szCs w:val="21"/>
          <w:highlight w:val="none"/>
          <w:lang w:eastAsia="zh-TW" w:bidi="ar"/>
        </w:rPr>
      </w:r>
      <w:r/>
    </w:p>
    <w:p>
      <w:pPr>
        <w:pStyle w:val="1197"/>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供应商使用CA认证证书登录“苏采云”政府采购一体化平台进行电子化不见面开标。</w:t>
      </w:r>
      <w:r>
        <w:rPr>
          <w:rFonts w:hint="eastAsia" w:ascii="宋体" w:hAnsi="宋体" w:cs="宋体"/>
          <w:color w:val="000000"/>
          <w:szCs w:val="21"/>
          <w:highlight w:val="none"/>
          <w:lang w:val="zh-TW" w:bidi="ar"/>
        </w:rPr>
      </w:r>
      <w:r/>
    </w:p>
    <w:p>
      <w:pPr>
        <w:pStyle w:val="1197"/>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3.8注意事项</w:t>
      </w:r>
      <w:r>
        <w:rPr>
          <w:rFonts w:hint="eastAsia" w:ascii="宋体" w:hAnsi="宋体" w:cs="宋体"/>
          <w:color w:val="000000"/>
          <w:szCs w:val="21"/>
          <w:highlight w:val="none"/>
          <w:lang w:val="zh-TW" w:bidi="ar"/>
        </w:rPr>
      </w:r>
      <w:r/>
    </w:p>
    <w:p>
      <w:pPr>
        <w:pStyle w:val="1197"/>
        <w:ind w:firstLine="420"/>
        <w:spacing w:line="360" w:lineRule="auto"/>
        <w:rPr>
          <w:rFonts w:hint="eastAsia" w:ascii="宋体" w:hAnsi="宋体" w:eastAsia="宋体" w:cs="宋体"/>
          <w:color w:val="000000"/>
          <w:sz w:val="21"/>
          <w:szCs w:val="21"/>
          <w:highlight w:val="none"/>
          <w:lang w:val="zh-TW" w:eastAsia="zh-TW" w:bidi="ar"/>
        </w:rPr>
      </w:pPr>
      <w:r>
        <w:rPr>
          <w:rFonts w:hint="eastAsia" w:ascii="宋体" w:hAnsi="宋体" w:cs="宋体"/>
          <w:color w:val="000000"/>
          <w:szCs w:val="21"/>
          <w:highlight w:val="none"/>
          <w:lang w:val="zh-TW" w:bidi="ar"/>
        </w:rPr>
        <w:t xml:space="preserve">供应商在开标前应当</w:t>
      </w:r>
      <w:r>
        <w:rPr>
          <w:rFonts w:hint="eastAsia" w:ascii="宋体" w:hAnsi="宋体" w:cs="宋体"/>
          <w:color w:val="000000"/>
          <w:szCs w:val="21"/>
          <w:highlight w:val="none"/>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eastAsia="宋体" w:cs="宋体"/>
          <w:color w:val="000000"/>
          <w:sz w:val="21"/>
          <w:szCs w:val="21"/>
          <w:highlight w:val="none"/>
          <w:lang w:val="zh-TW" w:eastAsia="zh-TW" w:bidi="ar"/>
        </w:rPr>
      </w:r>
      <w:r/>
    </w:p>
    <w:p>
      <w:pPr>
        <w:pStyle w:val="1197"/>
        <w:ind w:firstLine="422"/>
        <w:spacing w:line="360" w:lineRule="auto"/>
        <w:rPr>
          <w:rFonts w:hint="eastAsia" w:ascii="宋体" w:hAnsi="宋体" w:cs="宋体"/>
          <w:color w:val="000000"/>
          <w:szCs w:val="21"/>
        </w:rPr>
      </w:pPr>
      <w:r/>
      <w:bookmarkStart w:id="25" w:name="_Toc28359008"/>
      <w:r/>
      <w:bookmarkStart w:id="26" w:name="_Toc35393627"/>
      <w:r/>
      <w:bookmarkStart w:id="27" w:name="_Toc28359085"/>
      <w:r/>
      <w:bookmarkStart w:id="28" w:name="_Toc35393796"/>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color w:val="000000"/>
          <w:szCs w:val="21"/>
        </w:rPr>
        <w:t xml:space="preserve">供应商自行踏勘现场。</w:t>
      </w:r>
      <w:r>
        <w:rPr>
          <w:rFonts w:hint="eastAsia" w:ascii="宋体" w:hAnsi="宋体" w:cs="宋体"/>
          <w:color w:val="000000"/>
          <w:szCs w:val="21"/>
        </w:rPr>
      </w:r>
      <w:r/>
    </w:p>
    <w:p>
      <w:pPr>
        <w:pStyle w:val="1197"/>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5.政府采购相关政策</w:t>
      </w:r>
      <w:r>
        <w:rPr>
          <w:rFonts w:hint="eastAsia" w:ascii="宋体" w:hAnsi="宋体" w:eastAsia="宋体" w:cs="宋体"/>
          <w:b/>
          <w:bCs/>
          <w:color w:val="000000"/>
          <w:szCs w:val="21"/>
          <w:highlight w:val="none"/>
          <w:lang w:val="en-US" w:eastAsia="zh-CN"/>
        </w:rPr>
      </w:r>
      <w:r/>
    </w:p>
    <w:p>
      <w:pPr>
        <w:pStyle w:val="1197"/>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（1）关于常州市中小企业政府采购信用融资：</w:t>
      </w:r>
      <w:r>
        <w:rPr>
          <w:rFonts w:hint="eastAsia" w:ascii="宋体" w:hAnsi="宋体" w:eastAsia="宋体" w:cs="宋体"/>
          <w:b w:val="0"/>
          <w:bCs w:val="0"/>
          <w:color w:val="000000"/>
          <w:szCs w:val="21"/>
          <w:highlight w:val="none"/>
          <w:lang w:val="en-US" w:eastAsia="zh-CN"/>
        </w:rPr>
      </w:r>
      <w:r/>
    </w:p>
    <w:p>
      <w:pPr>
        <w:pStyle w:val="119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zh-TW" w:bidi="ar"/>
        </w:rPr>
        <w:outlineLvl w:val="9"/>
      </w:pPr>
      <w:r>
        <w:rPr>
          <w:rFonts w:hint="eastAsia" w:ascii="宋体" w:hAnsi="宋体" w:eastAsia="宋体" w:cs="宋体"/>
          <w:color w:val="000000"/>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1"/>
          <w:szCs w:val="21"/>
          <w:highlight w:val="none"/>
          <w:lang w:val="zh-TW" w:bidi="ar"/>
        </w:rPr>
      </w:r>
      <w:r/>
    </w:p>
    <w:p>
      <w:pPr>
        <w:pStyle w:val="1197"/>
        <w:numPr>
          <w:ilvl w:val="0"/>
          <w:numId w:val="0"/>
        </w:numPr>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eastAsia="zh-CN"/>
        </w:rPr>
        <w:t xml:space="preserve">关于深入开展常州市政府采购线上合同信用融资：</w:t>
      </w:r>
      <w:r>
        <w:rPr>
          <w:rFonts w:hint="eastAsia" w:ascii="宋体" w:hAnsi="宋体" w:eastAsia="宋体" w:cs="宋体"/>
          <w:color w:val="000000"/>
          <w:sz w:val="21"/>
          <w:szCs w:val="21"/>
          <w:highlight w:val="none"/>
          <w:lang w:eastAsia="zh-CN"/>
        </w:rPr>
      </w:r>
      <w:r/>
    </w:p>
    <w:p>
      <w:pPr>
        <w:pStyle w:val="119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zh-TW"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宋体" w:hAnsi="宋体" w:eastAsia="宋体" w:cs="宋体"/>
          <w:color w:val="000000"/>
          <w:sz w:val="21"/>
          <w:szCs w:val="21"/>
          <w:highlight w:val="none"/>
          <w:lang w:eastAsia="zh-CN"/>
        </w:rPr>
      </w:r>
      <w:r/>
    </w:p>
    <w:p>
      <w:pPr>
        <w:pStyle w:val="1197"/>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（3）现行国家、地方政府关于实施政府采购的一切法律、法规及部门规章、政策性文件等。</w:t>
      </w:r>
      <w:r>
        <w:rPr>
          <w:rFonts w:hint="eastAsia" w:ascii="宋体" w:hAnsi="宋体" w:eastAsia="宋体" w:cs="宋体"/>
          <w:color w:val="000000"/>
          <w:sz w:val="21"/>
          <w:szCs w:val="21"/>
          <w:highlight w:val="none"/>
          <w:lang w:val="en-US" w:eastAsia="zh-CN" w:bidi="ar-SA"/>
        </w:rPr>
      </w:r>
      <w:r/>
    </w:p>
    <w:p>
      <w:pPr>
        <w:pStyle w:val="1199"/>
        <w:jc w:val="left"/>
        <w:spacing w:before="0"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八、对本项目提出询问，请按以下方式联系。</w:t>
      </w:r>
      <w:bookmarkEnd w:id="25"/>
      <w:r/>
      <w:bookmarkEnd w:id="26"/>
      <w:r/>
      <w:bookmarkEnd w:id="27"/>
      <w:r/>
      <w:bookmarkEnd w:id="28"/>
      <w:r>
        <w:rPr>
          <w:rFonts w:hint="eastAsia" w:ascii="宋体" w:hAnsi="宋体" w:eastAsia="宋体" w:cs="宋体"/>
          <w:b/>
          <w:color w:val="000000"/>
          <w:sz w:val="21"/>
          <w:szCs w:val="21"/>
          <w:highlight w:val="none"/>
          <w:lang w:val="en-US" w:eastAsia="zh-CN"/>
        </w:rPr>
      </w:r>
      <w:r/>
    </w:p>
    <w:p>
      <w:pPr>
        <w:pStyle w:val="1199"/>
        <w:ind w:firstLine="422"/>
        <w:jc w:val="left"/>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1.采购人信息</w:t>
      </w:r>
      <w:r>
        <w:rPr>
          <w:rFonts w:hint="eastAsia" w:ascii="宋体" w:hAnsi="宋体" w:eastAsia="宋体" w:cs="宋体"/>
          <w:b/>
          <w:bCs/>
          <w:color w:val="000000"/>
          <w:sz w:val="21"/>
          <w:szCs w:val="21"/>
          <w:highlight w:val="none"/>
        </w:rPr>
      </w:r>
      <w:r/>
    </w:p>
    <w:p>
      <w:pPr>
        <w:pStyle w:val="1197"/>
        <w:ind w:firstLine="630"/>
        <w:jc w:val="left"/>
        <w:spacing w:line="360" w:lineRule="auto"/>
        <w:rPr>
          <w:rFonts w:hint="eastAsia" w:ascii="宋体" w:hAnsi="宋体" w:eastAsia="宋体" w:cs="宋体"/>
          <w:color w:val="000000"/>
          <w:sz w:val="21"/>
          <w:szCs w:val="21"/>
          <w:highlight w:val="none"/>
          <w:lang w:eastAsia="zh-CN"/>
        </w:rPr>
      </w:pPr>
      <w:r/>
      <w:bookmarkStart w:id="29" w:name="_Toc28359009"/>
      <w:r/>
      <w:bookmarkStart w:id="30" w:name="_Toc28359086"/>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lang w:eastAsia="zh-CN"/>
        </w:rPr>
        <w:t xml:space="preserve">常州市天宁区兰陵街道办事处</w:t>
      </w:r>
      <w:r>
        <w:rPr>
          <w:rFonts w:hint="eastAsia" w:ascii="宋体" w:hAnsi="宋体" w:eastAsia="宋体" w:cs="宋体"/>
          <w:color w:val="000000"/>
          <w:sz w:val="21"/>
          <w:szCs w:val="21"/>
          <w:highlight w:val="none"/>
          <w:lang w:eastAsia="zh-CN"/>
        </w:rPr>
      </w:r>
      <w:r/>
    </w:p>
    <w:p>
      <w:pPr>
        <w:pStyle w:val="1197"/>
        <w:ind w:firstLine="63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eastAsia="zh-CN"/>
        </w:rPr>
        <w:t xml:space="preserve">常州市天宁区中吴大道1287号</w:t>
      </w:r>
      <w:r>
        <w:rPr>
          <w:rFonts w:hint="eastAsia" w:ascii="宋体" w:hAnsi="宋体" w:eastAsia="宋体" w:cs="宋体"/>
          <w:color w:val="000000"/>
          <w:sz w:val="21"/>
          <w:szCs w:val="21"/>
          <w:highlight w:val="none"/>
          <w:lang w:eastAsia="zh-CN"/>
        </w:rPr>
      </w:r>
      <w:r/>
    </w:p>
    <w:p>
      <w:pPr>
        <w:pStyle w:val="1197"/>
        <w:ind w:firstLine="630"/>
        <w:jc w:val="left"/>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lang w:eastAsia="zh-CN"/>
        </w:rPr>
        <w:t xml:space="preserve">崔先生，0519-8996 2172</w:t>
      </w:r>
      <w:r>
        <w:rPr>
          <w:rFonts w:hint="eastAsia" w:ascii="宋体" w:hAnsi="宋体" w:eastAsia="宋体" w:cs="宋体"/>
          <w:color w:val="000000"/>
          <w:sz w:val="21"/>
          <w:szCs w:val="21"/>
          <w:highlight w:val="none"/>
          <w:u w:val="single"/>
          <w:lang w:val="en-US" w:eastAsia="zh-CN"/>
        </w:rPr>
      </w:r>
      <w:r/>
    </w:p>
    <w:p>
      <w:pPr>
        <w:pStyle w:val="1197"/>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2.采购代理机构信息</w:t>
      </w:r>
      <w:bookmarkEnd w:id="29"/>
      <w:r/>
      <w:bookmarkEnd w:id="30"/>
      <w:r>
        <w:rPr>
          <w:rFonts w:hint="eastAsia" w:ascii="宋体" w:hAnsi="宋体" w:eastAsia="宋体" w:cs="宋体"/>
          <w:b/>
          <w:color w:val="000000"/>
          <w:sz w:val="21"/>
          <w:szCs w:val="21"/>
          <w:highlight w:val="none"/>
        </w:rPr>
      </w:r>
      <w:r/>
    </w:p>
    <w:p>
      <w:pPr>
        <w:pStyle w:val="1197"/>
        <w:ind w:firstLine="630"/>
        <w:jc w:val="left"/>
        <w:spacing w:line="360" w:lineRule="auto"/>
        <w:rPr>
          <w:rFonts w:hint="eastAsia" w:ascii="宋体" w:hAnsi="宋体" w:eastAsia="宋体" w:cs="宋体"/>
          <w:color w:val="000000"/>
          <w:sz w:val="21"/>
          <w:szCs w:val="21"/>
          <w:highlight w:val="none"/>
          <w:lang w:eastAsia="zh-CN"/>
        </w:rPr>
      </w:pPr>
      <w:r/>
      <w:bookmarkStart w:id="31" w:name="_Toc28359087"/>
      <w:r/>
      <w:bookmarkStart w:id="32" w:name="_Toc28359010"/>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lang w:eastAsia="zh-CN"/>
        </w:rPr>
        <w:t xml:space="preserve">常州市阳峻项目管理有限公司</w:t>
      </w:r>
      <w:r>
        <w:rPr>
          <w:rFonts w:hint="eastAsia" w:ascii="宋体" w:hAnsi="宋体" w:eastAsia="宋体" w:cs="宋体"/>
          <w:color w:val="000000"/>
          <w:sz w:val="21"/>
          <w:szCs w:val="21"/>
          <w:highlight w:val="none"/>
          <w:lang w:eastAsia="zh-CN"/>
        </w:rPr>
      </w:r>
      <w:r/>
    </w:p>
    <w:p>
      <w:pPr>
        <w:pStyle w:val="1197"/>
        <w:ind w:firstLine="630"/>
        <w:jc w:val="left"/>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eastAsia="zh-CN"/>
        </w:rPr>
        <w:t xml:space="preserve">江苏省常州市钟楼区荆川东路22-1号荆川商务大厦北楼4楼</w:t>
      </w:r>
      <w:r>
        <w:rPr>
          <w:rFonts w:hint="eastAsia" w:ascii="宋体" w:hAnsi="宋体" w:eastAsia="宋体" w:cs="宋体"/>
          <w:color w:val="000000"/>
          <w:sz w:val="21"/>
          <w:szCs w:val="21"/>
          <w:highlight w:val="none"/>
          <w:u w:val="single"/>
          <w:lang w:eastAsia="zh-CN"/>
        </w:rPr>
      </w:r>
      <w:r/>
    </w:p>
    <w:p>
      <w:pPr>
        <w:pStyle w:val="1197"/>
        <w:ind w:firstLine="630"/>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0519-8366 1615</w:t>
      </w:r>
      <w:r>
        <w:rPr>
          <w:rFonts w:hint="eastAsia" w:ascii="宋体" w:hAnsi="宋体" w:eastAsia="宋体" w:cs="宋体"/>
          <w:color w:val="000000"/>
          <w:sz w:val="21"/>
          <w:szCs w:val="21"/>
          <w:highlight w:val="none"/>
          <w:u w:val="single"/>
        </w:rPr>
      </w:r>
      <w:r/>
    </w:p>
    <w:p>
      <w:pPr>
        <w:pStyle w:val="1197"/>
        <w:ind w:firstLine="422"/>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3.项目联系方式</w:t>
      </w:r>
      <w:bookmarkEnd w:id="31"/>
      <w:r/>
      <w:bookmarkEnd w:id="32"/>
      <w:r>
        <w:rPr>
          <w:rFonts w:hint="eastAsia" w:ascii="宋体" w:hAnsi="宋体" w:eastAsia="宋体" w:cs="宋体"/>
          <w:b/>
          <w:color w:val="000000"/>
          <w:sz w:val="21"/>
          <w:szCs w:val="21"/>
          <w:highlight w:val="none"/>
          <w:u w:val="single"/>
        </w:rPr>
      </w:r>
      <w:r/>
    </w:p>
    <w:p>
      <w:pPr>
        <w:pStyle w:val="1237"/>
        <w:ind w:firstLine="630"/>
        <w:spacing w:line="360" w:lineRule="auto"/>
        <w:rPr>
          <w:rFonts w:hint="eastAsia" w:ascii="宋体" w:hAnsi="宋体" w:eastAsia="宋体" w:cs="宋体"/>
          <w:color w:val="000000"/>
          <w:sz w:val="21"/>
          <w:szCs w:val="21"/>
          <w:highlight w:val="none"/>
          <w:u w:val="single"/>
          <w:lang w:bidi="ar"/>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u w:val="single"/>
        </w:rPr>
        <w:t xml:space="preserve">叶工</w:t>
      </w:r>
      <w:r>
        <w:rPr>
          <w:rFonts w:hint="eastAsia" w:ascii="宋体" w:hAnsi="宋体" w:eastAsia="宋体" w:cs="宋体"/>
          <w:color w:val="000000"/>
          <w:sz w:val="21"/>
          <w:szCs w:val="21"/>
          <w:highlight w:val="none"/>
          <w:u w:val="single"/>
          <w:lang w:bidi="ar"/>
        </w:rPr>
      </w:r>
      <w:r/>
    </w:p>
    <w:p>
      <w:pPr>
        <w:pStyle w:val="1237"/>
        <w:ind w:firstLine="63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0519-8366 1615</w:t>
      </w:r>
      <w:r>
        <w:rPr>
          <w:rFonts w:hint="eastAsia" w:ascii="宋体" w:hAnsi="宋体" w:eastAsia="宋体" w:cs="宋体"/>
          <w:color w:val="000000"/>
          <w:sz w:val="21"/>
          <w:szCs w:val="21"/>
          <w:highlight w:val="none"/>
          <w:u w:val="single"/>
        </w:rPr>
      </w:r>
      <w:r/>
    </w:p>
    <w:p>
      <w:pPr>
        <w:pStyle w:val="1197"/>
        <w:ind w:firstLine="420"/>
        <w:jc w:val="both"/>
        <w:spacing w:line="520" w:lineRule="atLeas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注：上述个人信息由于工作需要经机构或本人同意对外公布。</w:t>
      </w:r>
      <w:r>
        <w:rPr>
          <w:rFonts w:hint="eastAsia" w:ascii="宋体" w:hAnsi="宋体" w:eastAsia="宋体" w:cs="宋体"/>
          <w:color w:val="000000"/>
          <w:sz w:val="21"/>
          <w:szCs w:val="21"/>
          <w:highlight w:val="none"/>
          <w:lang w:val="en-US" w:eastAsia="zh-CN" w:bidi="ar-SA"/>
        </w:rPr>
      </w:r>
      <w:r/>
    </w:p>
    <w:p>
      <w:pPr>
        <w:pStyle w:val="1197"/>
        <w:rPr>
          <w:rStyle w:val="1271"/>
          <w:rFonts w:hint="eastAsia" w:ascii="宋体" w:hAnsi="宋体" w:eastAsia="宋体" w:cs="宋体"/>
          <w:color w:val="000000"/>
          <w:sz w:val="21"/>
          <w:szCs w:val="21"/>
          <w:shd w:val="clear" w:color="auto" w:fill="ffffff"/>
        </w:rPr>
      </w:pPr>
      <w:r>
        <w:rPr>
          <w:rStyle w:val="1271"/>
          <w:rFonts w:hint="eastAsia" w:ascii="宋体" w:hAnsi="宋体" w:eastAsia="宋体" w:cs="宋体"/>
          <w:color w:val="000000"/>
          <w:sz w:val="21"/>
          <w:szCs w:val="21"/>
          <w:shd w:val="clear" w:color="auto" w:fill="ffffff"/>
        </w:rPr>
      </w:r>
      <w:r/>
    </w:p>
    <w:p>
      <w:pPr>
        <w:pStyle w:val="1197"/>
        <w:jc w:val="center"/>
        <w:spacing w:line="360" w:lineRule="auto"/>
        <w:rPr>
          <w:b/>
          <w:sz w:val="32"/>
          <w:szCs w:val="32"/>
        </w:rPr>
        <w:outlineLvl w:val="0"/>
      </w:pPr>
      <w:r/>
      <w:bookmarkStart w:id="33" w:name="_Toc353825548"/>
      <w:r/>
      <w:bookmarkStart w:id="34" w:name="_Toc104818926"/>
      <w:r/>
      <w:bookmarkStart w:id="35" w:name="_Toc150774783"/>
      <w:r/>
      <w:bookmarkStart w:id="36" w:name="_Toc127151777"/>
      <w:r/>
      <w:bookmarkStart w:id="37" w:name="_Toc305158928"/>
      <w:r/>
      <w:bookmarkStart w:id="38" w:name="_Toc264969275"/>
      <w:r/>
      <w:bookmarkStart w:id="39" w:name="_Toc305158854"/>
      <w:r/>
      <w:bookmarkStart w:id="40" w:name="_Toc127161488"/>
      <w:r/>
      <w:bookmarkStart w:id="41" w:name="_Toc512937850"/>
      <w:r/>
      <w:bookmarkStart w:id="42" w:name="_Toc195842950"/>
      <w:r/>
      <w:bookmarkStart w:id="43" w:name="_Toc226965856"/>
      <w:r/>
      <w:bookmarkStart w:id="44" w:name="_Toc265228423"/>
      <w:r/>
      <w:bookmarkStart w:id="45" w:name="_Toc353873938"/>
      <w:r>
        <w:rPr>
          <w:b/>
          <w:sz w:val="32"/>
          <w:szCs w:val="32"/>
        </w:rPr>
        <w:br w:type="page" w:clear="all"/>
      </w:r>
      <w:r>
        <w:rPr>
          <w:b/>
          <w:sz w:val="32"/>
          <w:szCs w:val="32"/>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199"/>
        <w:spacing w:before="0" w:line="360" w:lineRule="auto"/>
        <w:tabs>
          <w:tab w:val="center" w:pos="4592" w:leader="none"/>
          <w:tab w:val="left" w:pos="7860" w:leader="none"/>
        </w:tabs>
        <w:rPr>
          <w:b w:val="0"/>
          <w:sz w:val="28"/>
          <w:szCs w:val="28"/>
        </w:rPr>
      </w:pPr>
      <w:r/>
      <w:bookmarkStart w:id="46" w:name="_Toc127151720"/>
      <w:r/>
      <w:bookmarkStart w:id="47" w:name="_Toc151190146"/>
      <w:r/>
      <w:bookmarkStart w:id="48" w:name="_Toc151193689"/>
      <w:r/>
      <w:bookmarkStart w:id="49" w:name="_Toc150774619"/>
      <w:r/>
      <w:bookmarkStart w:id="50" w:name="_Toc151193761"/>
      <w:r/>
      <w:bookmarkStart w:id="51" w:name="_Toc142311021"/>
      <w:r/>
      <w:bookmarkStart w:id="52" w:name="_Toc127161433"/>
      <w:r/>
      <w:bookmarkStart w:id="53" w:name="_Toc226965709"/>
      <w:r/>
      <w:bookmarkStart w:id="54" w:name="_Toc150480757"/>
      <w:r/>
      <w:bookmarkStart w:id="55" w:name="_Toc164229360"/>
      <w:r/>
      <w:bookmarkStart w:id="56" w:name="_Toc150509270"/>
      <w:r/>
      <w:bookmarkStart w:id="57" w:name="_Toc127151519"/>
      <w:r/>
      <w:bookmarkStart w:id="58" w:name="_Toc151193833"/>
      <w:r/>
      <w:bookmarkStart w:id="59" w:name="_Toc150774724"/>
      <w:r/>
      <w:bookmarkStart w:id="60" w:name="_Toc195842884"/>
      <w:r/>
      <w:bookmarkStart w:id="61" w:name="_Toc226337215"/>
      <w:r/>
      <w:bookmarkStart w:id="62" w:name="_Toc226965792"/>
      <w:r/>
      <w:bookmarkStart w:id="63" w:name="_Toc149720812"/>
      <w:r/>
      <w:bookmarkStart w:id="64" w:name="_Toc164351613"/>
      <w:r/>
      <w:bookmarkStart w:id="65" w:name="_Toc151193617"/>
      <w:r/>
      <w:bookmarkStart w:id="66" w:name="_Toc226309763"/>
      <w:r/>
      <w:bookmarkStart w:id="67" w:name="_Toc151193907"/>
      <w:r/>
      <w:bookmarkStart w:id="68" w:name="_Toc164608633"/>
      <w:r/>
      <w:bookmarkStart w:id="69" w:name="_Toc520356144"/>
      <w:r/>
      <w:bookmarkStart w:id="70" w:name="_Toc164608788"/>
      <w:r/>
      <w:bookmarkStart w:id="71" w:name="_Toc164229214"/>
      <w:r>
        <w:rPr>
          <w:rFonts w:ascii="Times New Roman" w:hAnsi="Times New Roman" w:eastAsia="宋体"/>
          <w:sz w:val="28"/>
        </w:rPr>
        <w:t xml:space="preserve">供应商须知资料表</w:t>
      </w:r>
      <w:r>
        <w:rPr>
          <w:b w:val="0"/>
          <w:sz w:val="28"/>
          <w:szCs w:val="28"/>
        </w:rPr>
      </w:r>
      <w:r/>
    </w:p>
    <w:p>
      <w:pPr>
        <w:pStyle w:val="1197"/>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本表是对供应商须知的具体补充和修改，如有矛盾，均以本资料表为准。标记</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的选项意为适用于本项目，标记“□”的选项意为不适用于本项目。</w:t>
      </w:r>
      <w:r>
        <w:rPr>
          <w:rFonts w:hint="eastAsia" w:ascii="宋体" w:hAnsi="宋体" w:eastAsia="宋体" w:cs="宋体"/>
          <w:sz w:val="21"/>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97"/>
              <w:jc w:val="center"/>
              <w:rPr>
                <w:rFonts w:hint="eastAsia" w:ascii="宋体" w:hAnsi="宋体" w:eastAsia="宋体" w:cs="宋体"/>
                <w:b/>
                <w:bCs/>
                <w:sz w:val="21"/>
                <w:szCs w:val="21"/>
              </w:rPr>
            </w:pPr>
            <w:r>
              <w:rPr>
                <w:rFonts w:hint="eastAsia" w:ascii="宋体" w:hAnsi="宋体" w:eastAsia="宋体" w:cs="宋体"/>
                <w:b/>
                <w:sz w:val="21"/>
                <w:szCs w:val="21"/>
              </w:rPr>
              <w:t xml:space="preserve">条款号</w:t>
            </w:r>
            <w:r>
              <w:rPr>
                <w:rFonts w:hint="eastAsia" w:ascii="宋体" w:hAnsi="宋体" w:eastAsia="宋体" w:cs="宋体"/>
                <w:b/>
                <w:bCs/>
                <w:sz w:val="21"/>
                <w:szCs w:val="21"/>
              </w:rPr>
            </w:r>
            <w:r/>
          </w:p>
        </w:tc>
        <w:tc>
          <w:tcPr>
            <w:tcW w:w="1701" w:type="dxa"/>
            <w:vAlign w:val="center"/>
            <w:textDirection w:val="lrTb"/>
            <w:noWrap w:val="false"/>
          </w:tcPr>
          <w:p>
            <w:pPr>
              <w:pStyle w:val="1197"/>
              <w:jc w:val="center"/>
              <w:rPr>
                <w:rFonts w:hint="eastAsia" w:ascii="宋体" w:hAnsi="宋体" w:eastAsia="宋体" w:cs="宋体"/>
                <w:b/>
                <w:bCs/>
                <w:sz w:val="21"/>
                <w:szCs w:val="21"/>
              </w:rPr>
            </w:pPr>
            <w:r>
              <w:rPr>
                <w:rFonts w:hint="eastAsia" w:ascii="宋体" w:hAnsi="宋体" w:eastAsia="宋体" w:cs="宋体"/>
                <w:b/>
                <w:bCs/>
                <w:sz w:val="21"/>
                <w:szCs w:val="21"/>
              </w:rPr>
              <w:t xml:space="preserve">条目</w:t>
            </w:r>
            <w:r>
              <w:rPr>
                <w:rFonts w:hint="eastAsia" w:ascii="宋体" w:hAnsi="宋体" w:eastAsia="宋体" w:cs="宋体"/>
                <w:b/>
                <w:bCs/>
                <w:sz w:val="21"/>
                <w:szCs w:val="21"/>
              </w:rPr>
            </w:r>
            <w:r/>
          </w:p>
        </w:tc>
        <w:tc>
          <w:tcPr>
            <w:tcW w:w="7253" w:type="dxa"/>
            <w:vAlign w:val="center"/>
            <w:textDirection w:val="lrTb"/>
            <w:noWrap w:val="false"/>
          </w:tcPr>
          <w:p>
            <w:pPr>
              <w:pStyle w:val="1197"/>
              <w:jc w:val="center"/>
              <w:rPr>
                <w:rFonts w:hint="eastAsia" w:ascii="宋体" w:hAnsi="宋体" w:eastAsia="宋体" w:cs="宋体"/>
                <w:b/>
                <w:bCs/>
                <w:sz w:val="21"/>
                <w:szCs w:val="21"/>
              </w:rPr>
            </w:pPr>
            <w:r>
              <w:rPr>
                <w:rFonts w:hint="eastAsia" w:ascii="宋体" w:hAnsi="宋体" w:eastAsia="宋体" w:cs="宋体"/>
                <w:b/>
                <w:bCs/>
                <w:sz w:val="21"/>
                <w:szCs w:val="21"/>
              </w:rPr>
              <w:t xml:space="preserve">内容</w:t>
            </w:r>
            <w:r>
              <w:rPr>
                <w:rFonts w:hint="eastAsia" w:ascii="宋体" w:hAnsi="宋体" w:eastAsia="宋体" w:cs="宋体"/>
                <w:b/>
                <w:bCs/>
                <w:sz w:val="21"/>
                <w:szCs w:val="21"/>
              </w:rPr>
            </w:r>
            <w:r/>
          </w:p>
        </w:tc>
      </w:tr>
      <w:tr>
        <w:trPr>
          <w:trHeight w:val="20"/>
        </w:trPr>
        <w:tc>
          <w:tcPr>
            <w:tcW w:w="988" w:type="dxa"/>
            <w:vAlign w:val="center"/>
            <w:textDirection w:val="lrTb"/>
            <w:noWrap w:val="false"/>
          </w:tcPr>
          <w:p>
            <w:pPr>
              <w:pStyle w:val="1237"/>
              <w:jc w:val="center"/>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W w:w="1701" w:type="dxa"/>
            <w:vAlign w:val="center"/>
            <w:textDirection w:val="lrTb"/>
            <w:noWrap w:val="false"/>
          </w:tcPr>
          <w:p>
            <w:pPr>
              <w:pStyle w:val="1197"/>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项目属性</w:t>
            </w:r>
            <w:r>
              <w:rPr>
                <w:rFonts w:hint="eastAsia" w:ascii="宋体" w:hAnsi="宋体" w:eastAsia="宋体" w:cs="宋体"/>
                <w:sz w:val="21"/>
                <w:szCs w:val="21"/>
                <w:highlight w:val="none"/>
              </w:rPr>
            </w:r>
            <w:r/>
          </w:p>
        </w:tc>
        <w:tc>
          <w:tcPr>
            <w:tcW w:w="7253" w:type="dxa"/>
            <w:vAlign w:val="center"/>
            <w:textDirection w:val="lrTb"/>
            <w:noWrap w:val="false"/>
          </w:tcPr>
          <w:p>
            <w:pPr>
              <w:pStyle w:val="1197"/>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项目属性：</w:t>
            </w:r>
            <w:r>
              <w:rPr>
                <w:rFonts w:hint="eastAsia" w:ascii="宋体" w:hAnsi="宋体" w:eastAsia="宋体" w:cs="宋体"/>
                <w:sz w:val="21"/>
                <w:szCs w:val="21"/>
                <w:highlight w:val="none"/>
              </w:rPr>
            </w:r>
            <w:r/>
          </w:p>
          <w:p>
            <w:pPr>
              <w:pStyle w:val="1197"/>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服务</w:t>
            </w:r>
            <w:r>
              <w:rPr>
                <w:rFonts w:hint="eastAsia" w:ascii="宋体" w:hAnsi="宋体" w:eastAsia="宋体" w:cs="宋体"/>
                <w:sz w:val="21"/>
                <w:szCs w:val="21"/>
                <w:highlight w:val="none"/>
              </w:rPr>
            </w:r>
            <w:r/>
          </w:p>
          <w:p>
            <w:pPr>
              <w:pStyle w:val="1197"/>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货物</w:t>
            </w:r>
            <w:r>
              <w:rPr>
                <w:rFonts w:hint="eastAsia" w:ascii="宋体" w:hAnsi="宋体" w:eastAsia="宋体" w:cs="宋体"/>
                <w:sz w:val="21"/>
                <w:szCs w:val="21"/>
                <w:highlight w:val="none"/>
              </w:rPr>
            </w:r>
            <w:r/>
          </w:p>
          <w:p>
            <w:pPr>
              <w:pStyle w:val="1197"/>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工程</w:t>
            </w:r>
            <w:r>
              <w:rPr>
                <w:rFonts w:hint="eastAsia" w:ascii="宋体" w:hAnsi="宋体" w:eastAsia="宋体" w:cs="宋体"/>
                <w:sz w:val="21"/>
                <w:szCs w:val="21"/>
                <w:highlight w:val="none"/>
                <w:u w:val="single"/>
              </w:rPr>
            </w:r>
            <w:r/>
          </w:p>
        </w:tc>
      </w:tr>
      <w:tr>
        <w:trPr>
          <w:trHeight w:val="20"/>
        </w:trPr>
        <w:tc>
          <w:tcPr>
            <w:tcW w:w="988" w:type="dxa"/>
            <w:vAlign w:val="center"/>
            <w:textDirection w:val="lrTb"/>
            <w:noWrap w:val="false"/>
          </w:tcPr>
          <w:p>
            <w:pPr>
              <w:pStyle w:val="1237"/>
              <w:jc w:val="center"/>
              <w:rPr>
                <w:rFonts w:hint="eastAsia"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r>
            <w:r/>
          </w:p>
        </w:tc>
        <w:tc>
          <w:tcPr>
            <w:tcW w:w="1701" w:type="dxa"/>
            <w:vAlign w:val="center"/>
            <w:textDirection w:val="lrTb"/>
            <w:noWrap w:val="false"/>
          </w:tcPr>
          <w:p>
            <w:pPr>
              <w:pStyle w:val="1197"/>
              <w:jc w:val="center"/>
              <w:rPr>
                <w:rFonts w:hint="eastAsia" w:ascii="宋体" w:hAnsi="宋体" w:eastAsia="宋体" w:cs="宋体"/>
                <w:sz w:val="21"/>
                <w:szCs w:val="21"/>
              </w:rPr>
            </w:pPr>
            <w:r>
              <w:rPr>
                <w:rFonts w:hint="eastAsia" w:ascii="宋体" w:hAnsi="宋体" w:eastAsia="宋体" w:cs="宋体"/>
                <w:sz w:val="21"/>
                <w:szCs w:val="21"/>
              </w:rPr>
              <w:t xml:space="preserve">科研仪器设备</w:t>
            </w:r>
            <w:r>
              <w:rPr>
                <w:rFonts w:hint="eastAsia" w:ascii="宋体" w:hAnsi="宋体" w:eastAsia="宋体" w:cs="宋体"/>
                <w:sz w:val="21"/>
                <w:szCs w:val="21"/>
              </w:rPr>
            </w:r>
            <w:r/>
          </w:p>
        </w:tc>
        <w:tc>
          <w:tcPr>
            <w:tcW w:w="7253" w:type="dxa"/>
            <w:vAlign w:val="center"/>
            <w:textDirection w:val="lrTb"/>
            <w:noWrap w:val="false"/>
          </w:tcPr>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是否属于科研仪器设备采购项目：</w:t>
            </w:r>
            <w:r>
              <w:rPr>
                <w:rFonts w:hint="eastAsia" w:ascii="宋体" w:hAnsi="宋体" w:eastAsia="宋体" w:cs="宋体"/>
                <w:sz w:val="21"/>
                <w:szCs w:val="21"/>
              </w:rPr>
            </w:r>
            <w:r/>
          </w:p>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□是</w:t>
            </w:r>
            <w:r>
              <w:rPr>
                <w:rFonts w:hint="eastAsia" w:ascii="宋体" w:hAnsi="宋体" w:eastAsia="宋体" w:cs="宋体"/>
                <w:sz w:val="21"/>
                <w:szCs w:val="21"/>
              </w:rPr>
            </w:r>
            <w:r/>
          </w:p>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否</w:t>
            </w:r>
            <w:r>
              <w:rPr>
                <w:rFonts w:hint="eastAsia" w:ascii="宋体" w:hAnsi="宋体" w:eastAsia="宋体" w:cs="宋体"/>
                <w:sz w:val="21"/>
                <w:szCs w:val="21"/>
              </w:rPr>
            </w:r>
            <w:r/>
          </w:p>
        </w:tc>
      </w:tr>
      <w:tr>
        <w:trPr>
          <w:trHeight w:val="20"/>
        </w:trPr>
        <w:tc>
          <w:tcPr>
            <w:tcW w:w="988" w:type="dxa"/>
            <w:vAlign w:val="center"/>
            <w:vMerge w:val="restart"/>
            <w:textDirection w:val="lrTb"/>
            <w:noWrap w:val="false"/>
          </w:tcPr>
          <w:p>
            <w:pPr>
              <w:pStyle w:val="1237"/>
              <w:jc w:val="center"/>
              <w:rPr>
                <w:rFonts w:hint="eastAsia" w:ascii="宋体" w:hAnsi="宋体" w:eastAsia="宋体" w:cs="宋体"/>
                <w:sz w:val="21"/>
                <w:szCs w:val="21"/>
              </w:rPr>
            </w:pPr>
            <w:r>
              <w:rPr>
                <w:rFonts w:hint="eastAsia" w:ascii="宋体" w:hAnsi="宋体" w:eastAsia="宋体" w:cs="宋体"/>
                <w:sz w:val="21"/>
                <w:szCs w:val="21"/>
              </w:rPr>
              <w:t xml:space="preserve">3.1</w:t>
            </w:r>
            <w:r>
              <w:rPr>
                <w:rFonts w:hint="eastAsia" w:ascii="宋体" w:hAnsi="宋体" w:eastAsia="宋体" w:cs="宋体"/>
                <w:sz w:val="21"/>
                <w:szCs w:val="21"/>
              </w:rPr>
            </w:r>
            <w:r/>
          </w:p>
        </w:tc>
        <w:tc>
          <w:tcPr>
            <w:tcW w:w="1701" w:type="dxa"/>
            <w:vAlign w:val="center"/>
            <w:textDirection w:val="lrTb"/>
            <w:noWrap w:val="false"/>
          </w:tcPr>
          <w:p>
            <w:pPr>
              <w:pStyle w:val="1197"/>
              <w:jc w:val="center"/>
              <w:rPr>
                <w:rFonts w:hint="eastAsia" w:ascii="宋体" w:hAnsi="宋体" w:eastAsia="宋体" w:cs="宋体"/>
                <w:sz w:val="21"/>
                <w:szCs w:val="21"/>
              </w:rPr>
            </w:pPr>
            <w:r>
              <w:rPr>
                <w:rFonts w:hint="eastAsia" w:ascii="宋体" w:hAnsi="宋体" w:eastAsia="宋体" w:cs="宋体"/>
                <w:sz w:val="21"/>
                <w:szCs w:val="21"/>
              </w:rPr>
              <w:t xml:space="preserve">现场考察</w:t>
            </w:r>
            <w:r>
              <w:rPr>
                <w:rFonts w:hint="eastAsia" w:ascii="宋体" w:hAnsi="宋体" w:eastAsia="宋体" w:cs="宋体"/>
                <w:sz w:val="21"/>
                <w:szCs w:val="21"/>
              </w:rPr>
            </w:r>
            <w:r/>
          </w:p>
        </w:tc>
        <w:tc>
          <w:tcPr>
            <w:tcW w:w="7253" w:type="dxa"/>
            <w:vAlign w:val="center"/>
            <w:textDirection w:val="lrTb"/>
            <w:noWrap w:val="false"/>
          </w:tcPr>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不组织</w:t>
            </w:r>
            <w:r>
              <w:rPr>
                <w:rFonts w:hint="eastAsia" w:ascii="宋体" w:hAnsi="宋体" w:eastAsia="宋体" w:cs="宋体"/>
                <w:sz w:val="21"/>
                <w:szCs w:val="21"/>
              </w:rPr>
            </w:r>
            <w:r/>
          </w:p>
          <w:p>
            <w:pPr>
              <w:pStyle w:val="1197"/>
              <w:jc w:val="left"/>
              <w:rPr>
                <w:rFonts w:hint="eastAsia" w:ascii="宋体" w:hAnsi="宋体" w:eastAsia="宋体" w:cs="宋体"/>
                <w:bCs/>
                <w:sz w:val="21"/>
                <w:szCs w:val="21"/>
              </w:rPr>
            </w:pPr>
            <w:r>
              <w:rPr>
                <w:rFonts w:hint="eastAsia" w:ascii="宋体" w:hAnsi="宋体" w:eastAsia="宋体" w:cs="宋体"/>
                <w:sz w:val="21"/>
                <w:szCs w:val="21"/>
              </w:rPr>
              <w:t xml:space="preserve">□组织，考察时间：___</w:t>
            </w:r>
            <w:r>
              <w:rPr>
                <w:rFonts w:hint="eastAsia" w:ascii="宋体" w:hAnsi="宋体" w:eastAsia="宋体" w:cs="宋体"/>
                <w:sz w:val="21"/>
                <w:szCs w:val="21"/>
                <w:lang w:bidi="ar"/>
              </w:rPr>
              <w:t xml:space="preserve">年</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月</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日</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点</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分</w:t>
            </w:r>
            <w:r>
              <w:rPr>
                <w:rFonts w:hint="eastAsia" w:ascii="宋体" w:hAnsi="宋体" w:eastAsia="宋体" w:cs="宋体"/>
                <w:bCs/>
                <w:sz w:val="21"/>
                <w:szCs w:val="21"/>
              </w:rPr>
            </w:r>
            <w:r/>
          </w:p>
          <w:p>
            <w:pPr>
              <w:pStyle w:val="1237"/>
              <w:rPr>
                <w:rFonts w:hint="eastAsia" w:ascii="宋体" w:hAnsi="宋体" w:eastAsia="宋体" w:cs="宋体"/>
                <w:sz w:val="21"/>
                <w:szCs w:val="21"/>
              </w:rPr>
            </w:pPr>
            <w:r>
              <w:rPr>
                <w:rFonts w:hint="eastAsia" w:ascii="宋体" w:hAnsi="宋体" w:eastAsia="宋体" w:cs="宋体"/>
                <w:sz w:val="21"/>
                <w:szCs w:val="21"/>
              </w:rPr>
              <w:t xml:space="preserve">考察地点：___________。</w:t>
            </w:r>
            <w:r>
              <w:rPr>
                <w:rFonts w:hint="eastAsia" w:ascii="宋体" w:hAnsi="宋体" w:eastAsia="宋体" w:cs="宋体"/>
                <w:sz w:val="21"/>
                <w:szCs w:val="21"/>
              </w:rPr>
            </w:r>
            <w:r/>
          </w:p>
        </w:tc>
      </w:tr>
      <w:tr>
        <w:trPr>
          <w:trHeight w:val="20"/>
        </w:trPr>
        <w:tc>
          <w:tcPr>
            <w:tcW w:w="988" w:type="dxa"/>
            <w:vAlign w:val="center"/>
            <w:vMerge w:val="continue"/>
            <w:textDirection w:val="lrTb"/>
            <w:noWrap w:val="false"/>
          </w:tcPr>
          <w:p>
            <w:pPr>
              <w:pStyle w:val="1237"/>
              <w:jc w:val="center"/>
              <w:rPr>
                <w:rFonts w:hint="eastAsia" w:ascii="宋体" w:hAnsi="宋体" w:eastAsia="宋体" w:cs="宋体"/>
                <w:sz w:val="21"/>
                <w:szCs w:val="21"/>
              </w:rPr>
            </w:pPr>
            <w:r>
              <w:rPr>
                <w:rFonts w:hint="eastAsia" w:ascii="宋体" w:hAnsi="宋体" w:eastAsia="宋体" w:cs="宋体"/>
                <w:sz w:val="21"/>
                <w:szCs w:val="21"/>
              </w:rPr>
            </w:r>
            <w:r/>
          </w:p>
        </w:tc>
        <w:tc>
          <w:tcPr>
            <w:tcW w:w="1701" w:type="dxa"/>
            <w:vAlign w:val="center"/>
            <w:textDirection w:val="lrTb"/>
            <w:noWrap w:val="false"/>
          </w:tcPr>
          <w:p>
            <w:pPr>
              <w:pStyle w:val="1197"/>
              <w:jc w:val="center"/>
              <w:rPr>
                <w:rFonts w:hint="eastAsia" w:ascii="宋体" w:hAnsi="宋体" w:eastAsia="宋体" w:cs="宋体"/>
                <w:sz w:val="21"/>
                <w:szCs w:val="21"/>
              </w:rPr>
            </w:pPr>
            <w:r>
              <w:rPr>
                <w:rFonts w:hint="eastAsia" w:ascii="宋体" w:hAnsi="宋体" w:eastAsia="宋体" w:cs="宋体"/>
                <w:sz w:val="21"/>
                <w:szCs w:val="21"/>
              </w:rPr>
              <w:t xml:space="preserve">磋商前答疑会</w:t>
            </w:r>
            <w:r>
              <w:rPr>
                <w:rFonts w:hint="eastAsia" w:ascii="宋体" w:hAnsi="宋体" w:eastAsia="宋体" w:cs="宋体"/>
                <w:sz w:val="21"/>
                <w:szCs w:val="21"/>
              </w:rPr>
            </w:r>
            <w:r/>
          </w:p>
        </w:tc>
        <w:tc>
          <w:tcPr>
            <w:tcW w:w="7253" w:type="dxa"/>
            <w:vAlign w:val="center"/>
            <w:textDirection w:val="lrTb"/>
            <w:noWrap w:val="false"/>
          </w:tcPr>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不召开</w:t>
            </w:r>
            <w:r>
              <w:rPr>
                <w:rFonts w:hint="eastAsia" w:ascii="宋体" w:hAnsi="宋体" w:eastAsia="宋体" w:cs="宋体"/>
                <w:sz w:val="21"/>
                <w:szCs w:val="21"/>
              </w:rPr>
            </w:r>
            <w:r/>
          </w:p>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□召开，召开时间：___</w:t>
            </w:r>
            <w:r>
              <w:rPr>
                <w:rFonts w:hint="eastAsia" w:ascii="宋体" w:hAnsi="宋体" w:eastAsia="宋体" w:cs="宋体"/>
                <w:sz w:val="21"/>
                <w:szCs w:val="21"/>
                <w:lang w:bidi="ar"/>
              </w:rPr>
              <w:t xml:space="preserve">年</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月</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日</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点</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分</w:t>
            </w:r>
            <w:r>
              <w:rPr>
                <w:rFonts w:hint="eastAsia" w:ascii="宋体" w:hAnsi="宋体" w:eastAsia="宋体" w:cs="宋体"/>
                <w:sz w:val="21"/>
                <w:szCs w:val="21"/>
              </w:rPr>
            </w:r>
            <w:r/>
          </w:p>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召开地点：___________。</w:t>
            </w:r>
            <w:r>
              <w:rPr>
                <w:rFonts w:hint="eastAsia" w:ascii="宋体" w:hAnsi="宋体" w:eastAsia="宋体" w:cs="宋体"/>
                <w:sz w:val="21"/>
                <w:szCs w:val="21"/>
              </w:rPr>
            </w:r>
            <w:r/>
          </w:p>
        </w:tc>
      </w:tr>
      <w:tr>
        <w:trPr>
          <w:trHeight w:val="739"/>
        </w:trPr>
        <w:tc>
          <w:tcPr>
            <w:tcW w:w="988" w:type="dxa"/>
            <w:vAlign w:val="center"/>
            <w:textDirection w:val="lrTb"/>
            <w:noWrap w:val="false"/>
          </w:tcPr>
          <w:p>
            <w:pPr>
              <w:pStyle w:val="1237"/>
              <w:jc w:val="center"/>
              <w:rPr>
                <w:rFonts w:hint="eastAsia" w:ascii="宋体" w:hAnsi="宋体" w:eastAsia="宋体" w:cs="宋体"/>
                <w:sz w:val="21"/>
                <w:szCs w:val="21"/>
              </w:rPr>
            </w:pPr>
            <w:r>
              <w:rPr>
                <w:rFonts w:hint="eastAsia" w:ascii="宋体" w:hAnsi="宋体" w:eastAsia="宋体" w:cs="宋体"/>
                <w:sz w:val="21"/>
                <w:szCs w:val="21"/>
              </w:rPr>
              <w:t xml:space="preserve">4.2.5</w:t>
            </w:r>
            <w:r>
              <w:rPr>
                <w:rFonts w:hint="eastAsia" w:ascii="宋体" w:hAnsi="宋体" w:eastAsia="宋体" w:cs="宋体"/>
                <w:sz w:val="21"/>
                <w:szCs w:val="21"/>
              </w:rPr>
            </w:r>
            <w:r/>
          </w:p>
        </w:tc>
        <w:tc>
          <w:tcPr>
            <w:tcW w:w="1701" w:type="dxa"/>
            <w:vAlign w:val="center"/>
            <w:textDirection w:val="lrTb"/>
            <w:noWrap w:val="false"/>
          </w:tcPr>
          <w:p>
            <w:pPr>
              <w:pStyle w:val="1197"/>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标的所属行业</w:t>
            </w:r>
            <w:r>
              <w:rPr>
                <w:rFonts w:hint="eastAsia" w:ascii="宋体" w:hAnsi="宋体" w:eastAsia="宋体" w:cs="宋体"/>
                <w:sz w:val="21"/>
                <w:szCs w:val="21"/>
                <w:highlight w:val="none"/>
              </w:rPr>
            </w:r>
            <w:r/>
          </w:p>
        </w:tc>
        <w:tc>
          <w:tcPr>
            <w:tcW w:w="7253" w:type="dxa"/>
            <w:vAlign w:val="center"/>
            <w:textDirection w:val="lrTb"/>
            <w:noWrap w:val="false"/>
          </w:tcPr>
          <w:p>
            <w:pPr>
              <w:pStyle w:val="1197"/>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本项目采购标的对应的中小企业划分标准所属行业：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其他未列明行业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tc>
      </w:tr>
      <w:tr>
        <w:trPr>
          <w:trHeight w:val="890"/>
        </w:trPr>
        <w:tc>
          <w:tcPr>
            <w:tcW w:w="988" w:type="dxa"/>
            <w:vAlign w:val="center"/>
            <w:textDirection w:val="lrTb"/>
            <w:noWrap w:val="false"/>
          </w:tcPr>
          <w:p>
            <w:pPr>
              <w:pStyle w:val="1237"/>
              <w:jc w:val="center"/>
              <w:rPr>
                <w:rFonts w:hint="eastAsia" w:ascii="宋体" w:hAnsi="宋体" w:eastAsia="宋体" w:cs="宋体"/>
                <w:sz w:val="21"/>
                <w:szCs w:val="21"/>
              </w:rPr>
            </w:pPr>
            <w:r>
              <w:rPr>
                <w:rFonts w:hint="eastAsia" w:ascii="宋体" w:hAnsi="宋体" w:eastAsia="宋体" w:cs="宋体"/>
                <w:sz w:val="21"/>
                <w:szCs w:val="21"/>
              </w:rPr>
              <w:t xml:space="preserve">10.2</w:t>
            </w:r>
            <w:r>
              <w:rPr>
                <w:rFonts w:hint="eastAsia" w:ascii="宋体" w:hAnsi="宋体" w:eastAsia="宋体" w:cs="宋体"/>
                <w:sz w:val="21"/>
                <w:szCs w:val="21"/>
              </w:rPr>
            </w:r>
            <w:r/>
          </w:p>
        </w:tc>
        <w:tc>
          <w:tcPr>
            <w:tcW w:w="1701" w:type="dxa"/>
            <w:vAlign w:val="center"/>
            <w:textDirection w:val="lrTb"/>
            <w:noWrap w:val="false"/>
          </w:tcPr>
          <w:p>
            <w:pPr>
              <w:pStyle w:val="1197"/>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rPr>
            </w:r>
            <w:r/>
          </w:p>
        </w:tc>
        <w:tc>
          <w:tcPr>
            <w:tcW w:w="7253" w:type="dxa"/>
            <w:vAlign w:val="center"/>
            <w:textDirection w:val="lrTb"/>
            <w:noWrap w:val="false"/>
          </w:tcPr>
          <w:p>
            <w:pPr>
              <w:pStyle w:val="1197"/>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报价的特殊规定：</w:t>
            </w:r>
            <w:r>
              <w:rPr>
                <w:rFonts w:hint="eastAsia" w:ascii="宋体" w:hAnsi="宋体" w:eastAsia="宋体" w:cs="宋体"/>
                <w:sz w:val="21"/>
                <w:szCs w:val="21"/>
                <w:highlight w:val="none"/>
              </w:rPr>
            </w:r>
            <w:r/>
          </w:p>
          <w:p>
            <w:pPr>
              <w:pStyle w:val="1197"/>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rPr>
            </w:r>
            <w:r/>
          </w:p>
          <w:p>
            <w:pPr>
              <w:pStyle w:val="1197"/>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有，具体情形：</w:t>
            </w:r>
            <w:r>
              <w:rPr>
                <w:rFonts w:hint="eastAsia" w:ascii="宋体" w:hAnsi="宋体" w:eastAsia="宋体" w:cs="宋体"/>
                <w:b/>
                <w:bCs/>
                <w:sz w:val="21"/>
                <w:szCs w:val="21"/>
                <w:highlight w:val="none"/>
                <w:u w:val="single"/>
              </w:rPr>
              <w:t xml:space="preserve">本项目采用至少二次报价，磋商响应文件报价一览表的报价作为首次报价，在磋商结束后，磋商小组应当要求所有实质性响应的供应商在规定时间内提交最后报价，最后报价作为评分依据。</w:t>
            </w:r>
            <w:r>
              <w:rPr>
                <w:rFonts w:hint="eastAsia" w:ascii="宋体" w:hAnsi="宋体" w:eastAsia="宋体" w:cs="宋体"/>
                <w:sz w:val="21"/>
                <w:szCs w:val="21"/>
                <w:highlight w:val="none"/>
              </w:rPr>
            </w:r>
            <w:r/>
          </w:p>
        </w:tc>
      </w:tr>
      <w:tr>
        <w:trPr>
          <w:trHeight w:val="514"/>
        </w:trPr>
        <w:tc>
          <w:tcPr>
            <w:tcW w:w="988" w:type="dxa"/>
            <w:vAlign w:val="center"/>
            <w:textDirection w:val="lrTb"/>
            <w:noWrap w:val="false"/>
          </w:tcPr>
          <w:p>
            <w:pPr>
              <w:pStyle w:val="1237"/>
              <w:jc w:val="center"/>
              <w:rPr>
                <w:rFonts w:hint="eastAsia" w:ascii="宋体" w:hAnsi="宋体" w:eastAsia="宋体" w:cs="宋体"/>
                <w:sz w:val="21"/>
                <w:szCs w:val="21"/>
              </w:rPr>
            </w:pPr>
            <w:r>
              <w:rPr>
                <w:rFonts w:hint="eastAsia" w:ascii="宋体" w:hAnsi="宋体" w:eastAsia="宋体" w:cs="宋体"/>
                <w:sz w:val="21"/>
                <w:szCs w:val="21"/>
              </w:rPr>
              <w:t xml:space="preserve">11.1</w:t>
            </w:r>
            <w:r>
              <w:rPr>
                <w:rFonts w:hint="eastAsia" w:ascii="宋体" w:hAnsi="宋体" w:eastAsia="宋体" w:cs="宋体"/>
                <w:sz w:val="21"/>
                <w:szCs w:val="21"/>
              </w:rPr>
            </w:r>
            <w:r/>
          </w:p>
        </w:tc>
        <w:tc>
          <w:tcPr>
            <w:tcW w:w="1701" w:type="dxa"/>
            <w:vAlign w:val="center"/>
            <w:textDirection w:val="lrTb"/>
            <w:noWrap w:val="false"/>
          </w:tcPr>
          <w:p>
            <w:pPr>
              <w:pStyle w:val="1197"/>
              <w:jc w:val="center"/>
              <w:rPr>
                <w:rFonts w:hint="eastAsia" w:ascii="宋体" w:hAnsi="宋体" w:eastAsia="宋体" w:cs="宋体"/>
                <w:sz w:val="21"/>
                <w:szCs w:val="21"/>
              </w:rPr>
            </w:pPr>
            <w:r>
              <w:rPr>
                <w:rFonts w:hint="eastAsia" w:ascii="宋体" w:hAnsi="宋体" w:eastAsia="宋体" w:cs="宋体"/>
                <w:sz w:val="21"/>
                <w:szCs w:val="21"/>
              </w:rPr>
              <w:t xml:space="preserve">磋商保证金</w:t>
            </w:r>
            <w:r>
              <w:rPr>
                <w:rFonts w:hint="eastAsia" w:ascii="宋体" w:hAnsi="宋体" w:eastAsia="宋体" w:cs="宋体"/>
                <w:sz w:val="21"/>
                <w:szCs w:val="21"/>
              </w:rPr>
            </w:r>
            <w:r/>
          </w:p>
        </w:tc>
        <w:tc>
          <w:tcPr>
            <w:tcW w:w="7253" w:type="dxa"/>
            <w:vAlign w:val="center"/>
            <w:textDirection w:val="lrTb"/>
            <w:noWrap w:val="false"/>
          </w:tcPr>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免收</w:t>
            </w:r>
            <w:r>
              <w:rPr>
                <w:rFonts w:hint="eastAsia" w:ascii="宋体" w:hAnsi="宋体" w:eastAsia="宋体" w:cs="宋体"/>
                <w:sz w:val="21"/>
                <w:szCs w:val="21"/>
              </w:rPr>
            </w:r>
            <w:r/>
          </w:p>
        </w:tc>
      </w:tr>
      <w:tr>
        <w:trPr>
          <w:trHeight w:val="622"/>
        </w:trPr>
        <w:tc>
          <w:tcPr>
            <w:tcW w:w="988" w:type="dxa"/>
            <w:vAlign w:val="center"/>
            <w:textDirection w:val="lrTb"/>
            <w:noWrap w:val="false"/>
          </w:tcPr>
          <w:p>
            <w:pPr>
              <w:pStyle w:val="1237"/>
              <w:jc w:val="center"/>
              <w:rPr>
                <w:rFonts w:hint="eastAsia" w:ascii="宋体" w:hAnsi="宋体" w:eastAsia="宋体" w:cs="宋体"/>
                <w:sz w:val="21"/>
                <w:szCs w:val="21"/>
              </w:rPr>
            </w:pPr>
            <w:r>
              <w:rPr>
                <w:rFonts w:hint="eastAsia" w:ascii="宋体" w:hAnsi="宋体" w:eastAsia="宋体" w:cs="宋体"/>
                <w:sz w:val="21"/>
                <w:szCs w:val="21"/>
              </w:rPr>
              <w:t xml:space="preserve">12.1</w:t>
            </w:r>
            <w:r>
              <w:rPr>
                <w:rFonts w:hint="eastAsia" w:ascii="宋体" w:hAnsi="宋体" w:eastAsia="宋体" w:cs="宋体"/>
                <w:sz w:val="21"/>
                <w:szCs w:val="21"/>
              </w:rPr>
            </w:r>
            <w:r/>
          </w:p>
        </w:tc>
        <w:tc>
          <w:tcPr>
            <w:tcW w:w="1701" w:type="dxa"/>
            <w:vAlign w:val="center"/>
            <w:textDirection w:val="lrTb"/>
            <w:noWrap w:val="false"/>
          </w:tcPr>
          <w:p>
            <w:pPr>
              <w:pStyle w:val="1197"/>
              <w:jc w:val="center"/>
              <w:rPr>
                <w:rFonts w:hint="eastAsia" w:ascii="宋体" w:hAnsi="宋体" w:eastAsia="宋体" w:cs="宋体"/>
                <w:sz w:val="21"/>
                <w:szCs w:val="21"/>
              </w:rPr>
            </w:pPr>
            <w:r>
              <w:rPr>
                <w:rFonts w:hint="eastAsia" w:ascii="宋体" w:hAnsi="宋体" w:eastAsia="宋体" w:cs="宋体"/>
                <w:sz w:val="21"/>
                <w:szCs w:val="21"/>
              </w:rPr>
              <w:t xml:space="preserve">响应有效期</w:t>
            </w:r>
            <w:r>
              <w:rPr>
                <w:rFonts w:hint="eastAsia" w:ascii="宋体" w:hAnsi="宋体" w:eastAsia="宋体" w:cs="宋体"/>
                <w:sz w:val="21"/>
                <w:szCs w:val="21"/>
              </w:rPr>
            </w:r>
            <w:r/>
          </w:p>
        </w:tc>
        <w:tc>
          <w:tcPr>
            <w:tcW w:w="7253" w:type="dxa"/>
            <w:vAlign w:val="center"/>
            <w:textDirection w:val="lrTb"/>
            <w:noWrap w:val="false"/>
          </w:tcPr>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自提交响应文件的截止之日起算</w:t>
            </w:r>
            <w:r>
              <w:rPr>
                <w:rFonts w:hint="eastAsia" w:ascii="宋体" w:hAnsi="宋体" w:eastAsia="宋体" w:cs="宋体"/>
                <w:sz w:val="21"/>
                <w:szCs w:val="21"/>
                <w:u w:val="single"/>
                <w:lang w:val="en-US" w:eastAsia="zh-CN"/>
              </w:rPr>
              <w:t xml:space="preserve">60</w:t>
            </w:r>
            <w:r>
              <w:rPr>
                <w:rFonts w:hint="eastAsia" w:ascii="宋体" w:hAnsi="宋体" w:eastAsia="宋体" w:cs="宋体"/>
                <w:sz w:val="21"/>
                <w:szCs w:val="21"/>
              </w:rPr>
              <w:t xml:space="preserve">日历天。</w:t>
            </w:r>
            <w:r>
              <w:rPr>
                <w:rFonts w:hint="eastAsia" w:ascii="宋体" w:hAnsi="宋体" w:eastAsia="宋体" w:cs="宋体"/>
                <w:sz w:val="21"/>
                <w:szCs w:val="21"/>
              </w:rPr>
            </w:r>
            <w:r/>
          </w:p>
        </w:tc>
      </w:tr>
      <w:tr>
        <w:trPr>
          <w:trHeight w:val="1756"/>
        </w:trPr>
        <w:tc>
          <w:tcPr>
            <w:tcW w:w="988" w:type="dxa"/>
            <w:vAlign w:val="center"/>
            <w:textDirection w:val="lrTb"/>
            <w:noWrap w:val="false"/>
          </w:tcPr>
          <w:p>
            <w:pPr>
              <w:pStyle w:val="1237"/>
              <w:jc w:val="center"/>
              <w:rPr>
                <w:rFonts w:hint="eastAsia" w:ascii="宋体" w:hAnsi="宋体" w:eastAsia="宋体" w:cs="宋体"/>
                <w:sz w:val="21"/>
                <w:szCs w:val="21"/>
              </w:rPr>
            </w:pPr>
            <w:r>
              <w:rPr>
                <w:rFonts w:hint="eastAsia" w:ascii="宋体" w:hAnsi="宋体" w:eastAsia="宋体" w:cs="宋体"/>
                <w:sz w:val="21"/>
                <w:szCs w:val="21"/>
              </w:rPr>
              <w:t xml:space="preserve">23.5</w:t>
            </w:r>
            <w:r>
              <w:rPr>
                <w:rFonts w:hint="eastAsia" w:ascii="宋体" w:hAnsi="宋体" w:eastAsia="宋体" w:cs="宋体"/>
                <w:sz w:val="21"/>
                <w:szCs w:val="21"/>
              </w:rPr>
            </w:r>
            <w:r/>
          </w:p>
        </w:tc>
        <w:tc>
          <w:tcPr>
            <w:tcW w:w="1701" w:type="dxa"/>
            <w:vAlign w:val="center"/>
            <w:textDirection w:val="lrTb"/>
            <w:noWrap w:val="false"/>
          </w:tcPr>
          <w:p>
            <w:pPr>
              <w:pStyle w:val="1197"/>
              <w:jc w:val="center"/>
              <w:rPr>
                <w:rFonts w:hint="eastAsia" w:ascii="宋体" w:hAnsi="宋体" w:eastAsia="宋体" w:cs="宋体"/>
                <w:sz w:val="21"/>
                <w:szCs w:val="21"/>
              </w:rPr>
            </w:pPr>
            <w:r>
              <w:rPr>
                <w:rFonts w:hint="eastAsia" w:ascii="宋体" w:hAnsi="宋体" w:eastAsia="宋体" w:cs="宋体"/>
                <w:sz w:val="21"/>
                <w:szCs w:val="21"/>
              </w:rPr>
              <w:t xml:space="preserve">分包</w:t>
            </w:r>
            <w:r>
              <w:rPr>
                <w:rFonts w:hint="eastAsia" w:ascii="宋体" w:hAnsi="宋体" w:eastAsia="宋体" w:cs="宋体"/>
                <w:sz w:val="21"/>
                <w:szCs w:val="21"/>
              </w:rPr>
            </w:r>
            <w:r/>
          </w:p>
        </w:tc>
        <w:tc>
          <w:tcPr>
            <w:tcW w:w="7253" w:type="dxa"/>
            <w:vAlign w:val="center"/>
            <w:textDirection w:val="lrTb"/>
            <w:noWrap w:val="false"/>
          </w:tcPr>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本项目是否允许分包： </w:t>
            </w:r>
            <w:r>
              <w:rPr>
                <w:rFonts w:hint="eastAsia" w:ascii="宋体" w:hAnsi="宋体" w:eastAsia="宋体" w:cs="宋体"/>
                <w:sz w:val="21"/>
                <w:szCs w:val="21"/>
              </w:rPr>
            </w:r>
            <w:r/>
          </w:p>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不允许</w:t>
            </w:r>
            <w:r>
              <w:rPr>
                <w:rFonts w:hint="eastAsia" w:ascii="宋体" w:hAnsi="宋体" w:eastAsia="宋体" w:cs="宋体"/>
                <w:sz w:val="21"/>
                <w:szCs w:val="21"/>
              </w:rPr>
            </w:r>
            <w:r/>
          </w:p>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□允许，具体要求：_______。</w:t>
            </w:r>
            <w:r>
              <w:rPr>
                <w:rFonts w:hint="eastAsia" w:ascii="宋体" w:hAnsi="宋体" w:eastAsia="宋体" w:cs="宋体"/>
                <w:sz w:val="21"/>
                <w:szCs w:val="21"/>
              </w:rPr>
            </w:r>
            <w:r/>
          </w:p>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（1）可以分包履行的具体内容：_______；</w:t>
            </w:r>
            <w:r>
              <w:rPr>
                <w:rFonts w:hint="eastAsia" w:ascii="宋体" w:hAnsi="宋体" w:eastAsia="宋体" w:cs="宋体"/>
                <w:sz w:val="21"/>
                <w:szCs w:val="21"/>
              </w:rPr>
            </w:r>
            <w:r/>
          </w:p>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（2）允许分包的金额或者比例：_______；</w:t>
            </w:r>
            <w:r>
              <w:rPr>
                <w:rFonts w:hint="eastAsia" w:ascii="宋体" w:hAnsi="宋体" w:eastAsia="宋体" w:cs="宋体"/>
                <w:sz w:val="21"/>
                <w:szCs w:val="21"/>
              </w:rPr>
            </w:r>
            <w:r/>
          </w:p>
          <w:p>
            <w:pPr>
              <w:pStyle w:val="1197"/>
              <w:jc w:val="left"/>
              <w:rPr>
                <w:rFonts w:hint="eastAsia" w:ascii="宋体" w:hAnsi="宋体" w:eastAsia="宋体" w:cs="宋体"/>
                <w:sz w:val="21"/>
                <w:szCs w:val="21"/>
                <w:u w:val="single"/>
              </w:rPr>
            </w:pPr>
            <w:r>
              <w:rPr>
                <w:rFonts w:hint="eastAsia" w:ascii="宋体" w:hAnsi="宋体" w:eastAsia="宋体" w:cs="宋体"/>
                <w:sz w:val="21"/>
                <w:szCs w:val="21"/>
              </w:rPr>
              <w:t xml:space="preserve">（3）其他要求：_______。</w:t>
            </w:r>
            <w:r>
              <w:rPr>
                <w:rFonts w:hint="eastAsia" w:ascii="宋体" w:hAnsi="宋体" w:eastAsia="宋体" w:cs="宋体"/>
                <w:sz w:val="21"/>
                <w:szCs w:val="21"/>
                <w:u w:val="single"/>
              </w:rPr>
            </w:r>
            <w:r/>
          </w:p>
        </w:tc>
      </w:tr>
      <w:tr>
        <w:trPr>
          <w:trHeight w:val="1199"/>
        </w:trPr>
        <w:tc>
          <w:tcPr>
            <w:tcW w:w="988" w:type="dxa"/>
            <w:vAlign w:val="center"/>
            <w:textDirection w:val="lrTb"/>
            <w:noWrap w:val="false"/>
          </w:tcPr>
          <w:p>
            <w:pPr>
              <w:pStyle w:val="1237"/>
              <w:jc w:val="center"/>
              <w:rPr>
                <w:rFonts w:hint="eastAsia" w:ascii="宋体" w:hAnsi="宋体" w:eastAsia="宋体" w:cs="宋体"/>
                <w:sz w:val="21"/>
                <w:szCs w:val="21"/>
              </w:rPr>
            </w:pPr>
            <w:r>
              <w:rPr>
                <w:rFonts w:hint="eastAsia" w:ascii="宋体" w:hAnsi="宋体" w:eastAsia="宋体" w:cs="宋体"/>
                <w:sz w:val="21"/>
                <w:szCs w:val="21"/>
              </w:rPr>
              <w:t xml:space="preserve">24.1.1</w:t>
            </w:r>
            <w:r>
              <w:rPr>
                <w:rFonts w:hint="eastAsia" w:ascii="宋体" w:hAnsi="宋体" w:eastAsia="宋体" w:cs="宋体"/>
                <w:sz w:val="21"/>
                <w:szCs w:val="21"/>
              </w:rPr>
            </w:r>
            <w:r/>
          </w:p>
        </w:tc>
        <w:tc>
          <w:tcPr>
            <w:tcW w:w="1701" w:type="dxa"/>
            <w:vAlign w:val="center"/>
            <w:textDirection w:val="lrTb"/>
            <w:noWrap w:val="false"/>
          </w:tcPr>
          <w:p>
            <w:pPr>
              <w:pStyle w:val="1197"/>
              <w:jc w:val="center"/>
              <w:rPr>
                <w:rFonts w:hint="eastAsia" w:ascii="宋体" w:hAnsi="宋体" w:eastAsia="宋体" w:cs="宋体"/>
                <w:sz w:val="21"/>
                <w:szCs w:val="21"/>
              </w:rPr>
            </w:pPr>
            <w:r>
              <w:rPr>
                <w:rFonts w:hint="eastAsia" w:ascii="宋体" w:hAnsi="宋体" w:eastAsia="宋体" w:cs="宋体"/>
                <w:sz w:val="21"/>
                <w:szCs w:val="21"/>
              </w:rPr>
              <w:t xml:space="preserve">询问</w:t>
            </w:r>
            <w:r>
              <w:rPr>
                <w:rFonts w:hint="eastAsia" w:ascii="宋体" w:hAnsi="宋体" w:eastAsia="宋体" w:cs="宋体"/>
                <w:sz w:val="21"/>
                <w:szCs w:val="21"/>
              </w:rPr>
            </w:r>
            <w:r/>
          </w:p>
        </w:tc>
        <w:tc>
          <w:tcPr>
            <w:tcW w:w="7253" w:type="dxa"/>
            <w:vAlign w:val="center"/>
            <w:textDirection w:val="lrTb"/>
            <w:noWrap w:val="false"/>
          </w:tcPr>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询问送达形式：</w:t>
            </w:r>
            <w:r>
              <w:rPr>
                <w:rFonts w:hint="eastAsia" w:ascii="宋体" w:hAnsi="宋体" w:cs="宋体"/>
                <w:b/>
                <w:bCs/>
                <w:szCs w:val="21"/>
                <w:highlight w:val="none"/>
              </w:rPr>
              <w:t xml:space="preserve">请将疑问于</w:t>
            </w:r>
            <w:r>
              <w:rPr>
                <w:rFonts w:hint="eastAsia" w:ascii="宋体" w:hAnsi="宋体" w:cs="宋体"/>
                <w:b/>
                <w:bCs/>
                <w:szCs w:val="21"/>
                <w:highlight w:val="none"/>
                <w:u w:val="single"/>
              </w:rPr>
              <w:t xml:space="preserve">202</w:t>
            </w:r>
            <w:r>
              <w:rPr>
                <w:rFonts w:hint="eastAsia" w:ascii="宋体" w:hAnsi="宋体" w:cs="宋体"/>
                <w:b/>
                <w:bCs/>
                <w:szCs w:val="21"/>
                <w:highlight w:val="none"/>
                <w:u w:val="single"/>
                <w:lang w:val="en-US" w:eastAsia="zh-CN"/>
              </w:rPr>
              <w:t xml:space="preserve">5</w:t>
            </w:r>
            <w:r>
              <w:rPr>
                <w:rFonts w:hint="eastAsia" w:ascii="宋体" w:hAnsi="宋体" w:cs="宋体"/>
                <w:b/>
                <w:bCs/>
                <w:szCs w:val="21"/>
                <w:highlight w:val="none"/>
              </w:rPr>
              <w:t xml:space="preserve">年</w:t>
            </w:r>
            <w:r>
              <w:rPr>
                <w:rFonts w:hint="eastAsia" w:ascii="宋体" w:hAnsi="宋体" w:cs="宋体"/>
                <w:b/>
                <w:bCs/>
                <w:szCs w:val="21"/>
                <w:highlight w:val="none"/>
                <w:u w:val="single"/>
                <w:lang w:val="en-US" w:eastAsia="zh-CN"/>
              </w:rPr>
              <w:t xml:space="preserve">12</w:t>
            </w:r>
            <w:r>
              <w:rPr>
                <w:rFonts w:hint="eastAsia" w:ascii="宋体" w:hAnsi="宋体" w:cs="宋体"/>
                <w:b/>
                <w:bCs/>
                <w:szCs w:val="21"/>
                <w:highlight w:val="none"/>
              </w:rPr>
              <w:t xml:space="preserve">月</w:t>
            </w:r>
            <w:r>
              <w:rPr>
                <w:rFonts w:hint="eastAsia" w:ascii="宋体" w:hAnsi="宋体" w:cs="宋体"/>
                <w:b/>
                <w:bCs/>
                <w:szCs w:val="21"/>
                <w:highlight w:val="none"/>
                <w:u w:val="single"/>
                <w:lang w:val="en-US" w:eastAsia="zh-CN"/>
              </w:rPr>
              <w:t xml:space="preserve">12</w:t>
            </w:r>
            <w:r>
              <w:rPr>
                <w:rFonts w:hint="eastAsia" w:ascii="宋体" w:hAnsi="宋体" w:cs="宋体"/>
                <w:b/>
                <w:bCs/>
                <w:szCs w:val="21"/>
                <w:highlight w:val="none"/>
              </w:rPr>
              <w:t xml:space="preserve">日中午12点前以邮件形式发送至邮箱czyjxmgl@163.com。（格式详见磋商文件中“关于磋商文件的询问内容”）发送至邮箱进行咨询，如口头可解释的问题亦可电话咨询采购人。未提出疑问将被视为完全认同磋商文件</w:t>
            </w:r>
            <w:r>
              <w:rPr>
                <w:rFonts w:hint="eastAsia" w:ascii="宋体" w:hAnsi="宋体" w:cs="宋体"/>
                <w:b/>
                <w:bCs/>
                <w:szCs w:val="21"/>
                <w:highlight w:val="none"/>
                <w:lang w:val="en-US" w:eastAsia="zh-CN"/>
              </w:rPr>
              <w:t xml:space="preserve">所有内容</w:t>
            </w:r>
            <w:r>
              <w:rPr>
                <w:rFonts w:hint="eastAsia" w:ascii="宋体" w:hAnsi="宋体" w:cs="宋体"/>
                <w:b/>
                <w:bCs/>
                <w:szCs w:val="21"/>
                <w:highlight w:val="none"/>
              </w:rPr>
              <w:t xml:space="preserve">，逾期将不接受其对于磋商文件的相关异议。如有变更，更正公告将会在江苏省政府采购网、常州市政府采购网公布。</w:t>
            </w:r>
            <w:r>
              <w:rPr>
                <w:rFonts w:hint="eastAsia" w:ascii="宋体" w:hAnsi="宋体" w:eastAsia="宋体" w:cs="宋体"/>
                <w:sz w:val="21"/>
                <w:szCs w:val="21"/>
              </w:rPr>
            </w:r>
            <w:r/>
          </w:p>
        </w:tc>
      </w:tr>
      <w:tr>
        <w:trPr>
          <w:trHeight w:val="1223"/>
        </w:trPr>
        <w:tc>
          <w:tcPr>
            <w:tcW w:w="988" w:type="dxa"/>
            <w:vAlign w:val="center"/>
            <w:textDirection w:val="lrTb"/>
            <w:noWrap w:val="false"/>
          </w:tcPr>
          <w:p>
            <w:pPr>
              <w:pStyle w:val="1237"/>
              <w:jc w:val="center"/>
              <w:rPr>
                <w:rFonts w:hint="eastAsia" w:ascii="宋体" w:hAnsi="宋体" w:eastAsia="宋体" w:cs="宋体"/>
                <w:sz w:val="21"/>
                <w:szCs w:val="21"/>
              </w:rPr>
            </w:pPr>
            <w:r>
              <w:rPr>
                <w:rFonts w:hint="eastAsia" w:ascii="宋体" w:hAnsi="宋体" w:eastAsia="宋体" w:cs="宋体"/>
                <w:sz w:val="21"/>
                <w:szCs w:val="21"/>
              </w:rPr>
              <w:t xml:space="preserve">24.3</w:t>
            </w:r>
            <w:r>
              <w:rPr>
                <w:rFonts w:hint="eastAsia" w:ascii="宋体" w:hAnsi="宋体" w:eastAsia="宋体" w:cs="宋体"/>
                <w:sz w:val="21"/>
                <w:szCs w:val="21"/>
              </w:rPr>
            </w:r>
            <w:r/>
          </w:p>
        </w:tc>
        <w:tc>
          <w:tcPr>
            <w:tcW w:w="1701" w:type="dxa"/>
            <w:vAlign w:val="center"/>
            <w:textDirection w:val="lrTb"/>
            <w:noWrap w:val="false"/>
          </w:tcPr>
          <w:p>
            <w:pPr>
              <w:pStyle w:val="1197"/>
              <w:jc w:val="center"/>
              <w:rPr>
                <w:rFonts w:hint="eastAsia" w:ascii="宋体" w:hAnsi="宋体" w:eastAsia="宋体" w:cs="宋体"/>
                <w:sz w:val="21"/>
                <w:szCs w:val="21"/>
              </w:rPr>
            </w:pPr>
            <w:r>
              <w:rPr>
                <w:rFonts w:hint="eastAsia" w:ascii="宋体" w:hAnsi="宋体" w:eastAsia="宋体" w:cs="宋体"/>
                <w:sz w:val="21"/>
                <w:szCs w:val="21"/>
              </w:rPr>
              <w:t xml:space="preserve">联系方式</w:t>
            </w:r>
            <w:r>
              <w:rPr>
                <w:rFonts w:hint="eastAsia" w:ascii="宋体" w:hAnsi="宋体" w:eastAsia="宋体" w:cs="宋体"/>
                <w:sz w:val="21"/>
                <w:szCs w:val="21"/>
              </w:rPr>
            </w:r>
            <w:r/>
          </w:p>
        </w:tc>
        <w:tc>
          <w:tcPr>
            <w:tcW w:w="7253" w:type="dxa"/>
            <w:vAlign w:val="center"/>
            <w:textDirection w:val="lrTb"/>
            <w:noWrap w:val="false"/>
          </w:tcPr>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接收询问和质疑的联系方式</w:t>
            </w:r>
            <w:r>
              <w:rPr>
                <w:rFonts w:hint="eastAsia" w:ascii="宋体" w:hAnsi="宋体" w:eastAsia="宋体" w:cs="宋体"/>
                <w:sz w:val="21"/>
                <w:szCs w:val="21"/>
              </w:rPr>
            </w:r>
            <w:r/>
          </w:p>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联系部门</w:t>
            </w:r>
            <w:r>
              <w:rPr>
                <w:rFonts w:hint="eastAsia" w:ascii="宋体" w:hAnsi="宋体" w:eastAsia="宋体" w:cs="宋体"/>
                <w:sz w:val="21"/>
                <w:szCs w:val="21"/>
                <w:lang w:eastAsia="zh-CN"/>
              </w:rPr>
              <w:t xml:space="preserve">：</w:t>
            </w:r>
            <w:r>
              <w:rPr>
                <w:rFonts w:hint="eastAsia" w:ascii="宋体" w:hAnsi="宋体" w:eastAsia="宋体" w:cs="宋体"/>
                <w:b/>
                <w:bCs/>
                <w:sz w:val="21"/>
                <w:szCs w:val="21"/>
                <w:u w:val="single"/>
                <w:lang w:eastAsia="zh-CN"/>
              </w:rPr>
              <w:t xml:space="preserve">常州市阳峻项目管理有限公司</w:t>
            </w:r>
            <w:r>
              <w:rPr>
                <w:rFonts w:hint="eastAsia" w:ascii="宋体" w:hAnsi="宋体" w:eastAsia="宋体" w:cs="宋体"/>
                <w:b/>
                <w:bCs/>
                <w:sz w:val="21"/>
                <w:szCs w:val="21"/>
              </w:rPr>
              <w:t xml:space="preserve">；</w:t>
            </w:r>
            <w:r>
              <w:rPr>
                <w:rFonts w:hint="eastAsia" w:ascii="宋体" w:hAnsi="宋体" w:eastAsia="宋体" w:cs="宋体"/>
                <w:sz w:val="21"/>
                <w:szCs w:val="21"/>
              </w:rPr>
            </w:r>
            <w:r/>
          </w:p>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b/>
                <w:bCs/>
                <w:sz w:val="21"/>
                <w:szCs w:val="21"/>
                <w:u w:val="single"/>
              </w:rPr>
              <w:t xml:space="preserve">0519-8366 1615</w:t>
            </w:r>
            <w:r>
              <w:rPr>
                <w:rFonts w:hint="eastAsia" w:ascii="宋体" w:hAnsi="宋体" w:eastAsia="宋体" w:cs="宋体"/>
                <w:b/>
                <w:bCs/>
                <w:sz w:val="21"/>
                <w:szCs w:val="21"/>
              </w:rPr>
              <w:t xml:space="preserve">；</w:t>
            </w:r>
            <w:r>
              <w:rPr>
                <w:rFonts w:hint="eastAsia" w:ascii="宋体" w:hAnsi="宋体" w:eastAsia="宋体" w:cs="宋体"/>
                <w:sz w:val="21"/>
                <w:szCs w:val="21"/>
              </w:rPr>
            </w:r>
            <w:r/>
          </w:p>
          <w:p>
            <w:pPr>
              <w:pStyle w:val="1197"/>
              <w:jc w:val="left"/>
              <w:rPr>
                <w:rFonts w:hint="eastAsia" w:ascii="宋体" w:hAnsi="宋体" w:eastAsia="宋体" w:cs="宋体"/>
                <w:sz w:val="21"/>
                <w:szCs w:val="21"/>
              </w:rPr>
            </w:pPr>
            <w:r>
              <w:rPr>
                <w:rFonts w:hint="eastAsia" w:ascii="宋体" w:hAnsi="宋体" w:eastAsia="宋体" w:cs="宋体"/>
                <w:sz w:val="21"/>
                <w:szCs w:val="21"/>
              </w:rPr>
              <w:t xml:space="preserve">通讯地址：</w:t>
            </w:r>
            <w:r>
              <w:rPr>
                <w:rFonts w:hint="eastAsia" w:ascii="宋体" w:hAnsi="宋体" w:cs="宋体"/>
                <w:b/>
                <w:bCs/>
                <w:szCs w:val="21"/>
                <w:u w:val="single"/>
              </w:rPr>
              <w:t xml:space="preserve">江苏省常州市钟楼区荆川东路22-1号荆川商务大厦北楼4楼</w:t>
            </w:r>
            <w:r>
              <w:rPr>
                <w:rFonts w:hint="eastAsia" w:ascii="宋体" w:hAnsi="宋体" w:eastAsia="宋体" w:cs="宋体"/>
                <w:b/>
                <w:bCs/>
                <w:sz w:val="21"/>
                <w:szCs w:val="21"/>
              </w:rPr>
              <w:t xml:space="preserve">。</w:t>
            </w:r>
            <w:r>
              <w:rPr>
                <w:rFonts w:hint="eastAsia" w:ascii="宋体" w:hAnsi="宋体" w:eastAsia="宋体" w:cs="宋体"/>
                <w:sz w:val="21"/>
                <w:szCs w:val="21"/>
              </w:rPr>
            </w:r>
            <w:r/>
          </w:p>
        </w:tc>
      </w:tr>
      <w:tr>
        <w:trPr>
          <w:trHeight w:val="20"/>
        </w:trPr>
        <w:tc>
          <w:tcPr>
            <w:tcW w:w="988" w:type="dxa"/>
            <w:vAlign w:val="center"/>
            <w:textDirection w:val="lrTb"/>
            <w:noWrap w:val="false"/>
          </w:tcPr>
          <w:p>
            <w:pPr>
              <w:pStyle w:val="1237"/>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c>
          <w:tcPr>
            <w:tcW w:w="1701" w:type="dxa"/>
            <w:vAlign w:val="center"/>
            <w:textDirection w:val="lrTb"/>
            <w:noWrap w:val="false"/>
          </w:tcPr>
          <w:p>
            <w:pPr>
              <w:pStyle w:val="1197"/>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代理费</w:t>
            </w:r>
            <w:r>
              <w:rPr>
                <w:rFonts w:hint="eastAsia" w:ascii="宋体" w:hAnsi="宋体" w:eastAsia="宋体" w:cs="宋体"/>
                <w:sz w:val="21"/>
                <w:szCs w:val="21"/>
                <w:highlight w:val="none"/>
              </w:rPr>
            </w:r>
            <w:r/>
          </w:p>
        </w:tc>
        <w:tc>
          <w:tcPr>
            <w:tcW w:w="7253" w:type="dxa"/>
            <w:vAlign w:val="center"/>
            <w:textDirection w:val="lrTb"/>
            <w:noWrap w:val="false"/>
          </w:tcPr>
          <w:p>
            <w:pPr>
              <w:pStyle w:val="1197"/>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收费对象：</w:t>
            </w:r>
            <w:r>
              <w:rPr>
                <w:rFonts w:hint="eastAsia" w:ascii="宋体" w:hAnsi="宋体" w:eastAsia="宋体" w:cs="宋体"/>
                <w:sz w:val="21"/>
                <w:szCs w:val="21"/>
                <w:highlight w:val="none"/>
              </w:rPr>
            </w:r>
            <w:r/>
          </w:p>
          <w:p>
            <w:pPr>
              <w:pStyle w:val="1197"/>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rPr>
            </w:r>
            <w:r/>
          </w:p>
          <w:p>
            <w:pPr>
              <w:pStyle w:val="1197"/>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成交供应商</w:t>
            </w:r>
            <w:r>
              <w:rPr>
                <w:rFonts w:hint="eastAsia" w:ascii="宋体" w:hAnsi="宋体" w:eastAsia="宋体" w:cs="宋体"/>
                <w:sz w:val="21"/>
                <w:szCs w:val="21"/>
                <w:highlight w:val="none"/>
              </w:rPr>
            </w:r>
            <w:r/>
          </w:p>
          <w:p>
            <w:pPr>
              <w:pStyle w:val="1197"/>
              <w:jc w:val="left"/>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收费标准：</w:t>
            </w:r>
            <w:r>
              <w:rPr>
                <w:rFonts w:hint="eastAsia" w:ascii="宋体" w:hAnsi="宋体" w:eastAsia="宋体" w:cs="宋体"/>
                <w:b/>
                <w:bCs/>
                <w:sz w:val="21"/>
                <w:szCs w:val="21"/>
                <w:highlight w:val="none"/>
                <w:u w:val="single"/>
                <w:lang w:val="en-US" w:eastAsia="zh-CN"/>
              </w:rPr>
              <w:t xml:space="preserve">以成交金额</w:t>
            </w:r>
            <w:r>
              <w:rPr>
                <w:rFonts w:hint="eastAsia" w:ascii="宋体" w:hAnsi="宋体" w:eastAsia="宋体" w:cs="宋体"/>
                <w:b/>
                <w:bCs/>
                <w:sz w:val="21"/>
                <w:szCs w:val="21"/>
                <w:highlight w:val="none"/>
                <w:u w:val="single"/>
              </w:rPr>
              <w:t xml:space="preserve">为基数</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收费比例按差额定率累进法计算</w:t>
            </w:r>
            <w:r>
              <w:rPr>
                <w:rFonts w:hint="eastAsia" w:ascii="宋体" w:hAnsi="宋体" w:eastAsia="宋体" w:cs="宋体"/>
                <w:b/>
                <w:bCs/>
                <w:sz w:val="21"/>
                <w:szCs w:val="21"/>
                <w:highlight w:val="none"/>
                <w:u w:val="single"/>
                <w:lang w:val="en-US" w:eastAsia="zh-CN"/>
              </w:rPr>
              <w:t xml:space="preserve">后收取</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成交金额在100万元(含)以下的为</w:t>
            </w:r>
            <w:r>
              <w:rPr>
                <w:rFonts w:hint="eastAsia" w:ascii="宋体" w:hAnsi="宋体" w:eastAsia="宋体" w:cs="宋体"/>
                <w:b/>
                <w:bCs/>
                <w:sz w:val="21"/>
                <w:szCs w:val="21"/>
                <w:highlight w:val="none"/>
                <w:u w:val="single"/>
                <w:lang w:val="en-US" w:eastAsia="zh-CN"/>
              </w:rPr>
              <w:t xml:space="preserve">1.5</w:t>
            </w:r>
            <w:r>
              <w:rPr>
                <w:rFonts w:hint="eastAsia" w:ascii="宋体" w:hAnsi="宋体" w:eastAsia="宋体" w:cs="宋体"/>
                <w:b/>
                <w:bCs/>
                <w:sz w:val="21"/>
                <w:szCs w:val="21"/>
                <w:highlight w:val="none"/>
                <w:u w:val="single"/>
              </w:rPr>
              <w:t xml:space="preserve">%，成交金额在100万元（不含）至500万元（含）的为 </w:t>
            </w:r>
            <w:r>
              <w:rPr>
                <w:rFonts w:hint="eastAsia" w:ascii="宋体" w:hAnsi="宋体" w:eastAsia="宋体" w:cs="宋体"/>
                <w:b/>
                <w:bCs/>
                <w:sz w:val="21"/>
                <w:szCs w:val="21"/>
                <w:highlight w:val="none"/>
                <w:u w:val="single"/>
                <w:lang w:val="en-US" w:eastAsia="zh-CN"/>
              </w:rPr>
              <w:t xml:space="preserve">0.8</w:t>
            </w:r>
            <w:r>
              <w:rPr>
                <w:rFonts w:hint="eastAsia" w:ascii="宋体" w:hAnsi="宋体" w:eastAsia="宋体" w:cs="宋体"/>
                <w:b/>
                <w:bCs/>
                <w:sz w:val="21"/>
                <w:szCs w:val="21"/>
                <w:highlight w:val="none"/>
                <w:u w:val="single"/>
              </w:rPr>
              <w:t xml:space="preserve">%，成交服务收费按上述计算方法不足人民币3000元的，按人民币3000元收取；</w:t>
            </w:r>
            <w:r>
              <w:rPr>
                <w:rFonts w:hint="eastAsia" w:ascii="宋体" w:hAnsi="宋体" w:eastAsia="宋体" w:cs="宋体"/>
                <w:b/>
                <w:bCs/>
                <w:sz w:val="21"/>
                <w:szCs w:val="21"/>
                <w:highlight w:val="none"/>
                <w:u w:val="single"/>
              </w:rPr>
            </w:r>
            <w:r/>
          </w:p>
          <w:p>
            <w:pPr>
              <w:pStyle w:val="1197"/>
              <w:jc w:val="left"/>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缴纳时间：</w:t>
            </w:r>
            <w:r>
              <w:rPr>
                <w:rFonts w:hint="eastAsia" w:ascii="宋体" w:hAnsi="宋体" w:eastAsia="宋体" w:cs="宋体"/>
                <w:b/>
                <w:bCs/>
                <w:sz w:val="21"/>
                <w:szCs w:val="21"/>
                <w:highlight w:val="none"/>
                <w:u w:val="single"/>
                <w:lang w:val="en-US" w:eastAsia="zh-CN"/>
              </w:rPr>
              <w:t xml:space="preserve">成交供应商</w:t>
            </w:r>
            <w:r>
              <w:rPr>
                <w:rFonts w:hint="eastAsia" w:ascii="宋体" w:hAnsi="宋体" w:eastAsia="宋体" w:cs="宋体"/>
                <w:b/>
                <w:bCs/>
                <w:sz w:val="21"/>
                <w:szCs w:val="21"/>
                <w:highlight w:val="none"/>
                <w:u w:val="single"/>
              </w:rPr>
              <w:t xml:space="preserve">应在中标</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成交</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结果公示结束后五个工作日内支付至代理机构</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1197"/>
              <w:jc w:val="left"/>
              <w:rPr>
                <w:rFonts w:hint="eastAsia" w:ascii="宋体" w:hAnsi="宋体" w:cs="宋体"/>
                <w:b/>
                <w:bCs/>
                <w:color w:val="000000"/>
                <w:szCs w:val="21"/>
                <w:u w:val="single"/>
              </w:rPr>
            </w:pPr>
            <w:r>
              <w:rPr>
                <w:rFonts w:hint="eastAsia" w:ascii="宋体" w:hAnsi="宋体" w:cs="宋体"/>
                <w:b/>
                <w:bCs/>
                <w:color w:val="000000"/>
                <w:szCs w:val="21"/>
                <w:u w:val="single"/>
              </w:rPr>
              <w:t xml:space="preserve">收款单位：常州市阳峻项目管理有限公司</w:t>
            </w:r>
            <w:r>
              <w:rPr>
                <w:rFonts w:hint="eastAsia" w:ascii="宋体" w:hAnsi="宋体" w:cs="宋体"/>
                <w:b/>
                <w:bCs/>
                <w:color w:val="000000"/>
                <w:szCs w:val="21"/>
                <w:u w:val="single"/>
              </w:rPr>
            </w:r>
            <w:r/>
          </w:p>
          <w:p>
            <w:pPr>
              <w:pStyle w:val="1197"/>
              <w:jc w:val="left"/>
              <w:rPr>
                <w:rFonts w:hint="eastAsia" w:ascii="宋体" w:hAnsi="宋体" w:cs="宋体"/>
                <w:b/>
                <w:bCs/>
                <w:color w:val="000000"/>
                <w:szCs w:val="21"/>
                <w:u w:val="single"/>
              </w:rPr>
            </w:pPr>
            <w:r>
              <w:rPr>
                <w:rFonts w:hint="eastAsia" w:ascii="宋体" w:hAnsi="宋体" w:cs="宋体"/>
                <w:b/>
                <w:bCs/>
                <w:color w:val="000000"/>
                <w:szCs w:val="21"/>
                <w:u w:val="single"/>
              </w:rPr>
              <w:t xml:space="preserve">开户银行：中国农业银行股份有限公司常州天宁支行</w:t>
            </w:r>
            <w:r>
              <w:rPr>
                <w:rFonts w:hint="eastAsia" w:ascii="宋体" w:hAnsi="宋体" w:cs="宋体"/>
                <w:b/>
                <w:bCs/>
                <w:color w:val="000000"/>
                <w:szCs w:val="21"/>
                <w:u w:val="single"/>
              </w:rPr>
            </w:r>
            <w:r/>
          </w:p>
          <w:p>
            <w:pPr>
              <w:pStyle w:val="1197"/>
              <w:jc w:val="left"/>
              <w:rPr>
                <w:rFonts w:hint="eastAsia"/>
              </w:rPr>
            </w:pPr>
            <w:r>
              <w:rPr>
                <w:rFonts w:hint="eastAsia" w:ascii="宋体" w:hAnsi="宋体" w:cs="宋体"/>
                <w:b/>
                <w:bCs/>
                <w:color w:val="000000"/>
                <w:szCs w:val="21"/>
                <w:u w:val="single"/>
              </w:rPr>
              <w:t xml:space="preserve">银行账号：1061 3001 0402 31265 </w:t>
            </w:r>
            <w:r>
              <w:rPr>
                <w:rFonts w:hint="eastAsia"/>
              </w:rPr>
            </w:r>
            <w:r/>
          </w:p>
        </w:tc>
      </w:tr>
      <w:tr>
        <w:trPr>
          <w:trHeight w:val="772"/>
        </w:trPr>
        <w:tc>
          <w:tcPr>
            <w:tcW w:w="988" w:type="dxa"/>
            <w:vAlign w:val="center"/>
            <w:textDirection w:val="lrTb"/>
            <w:noWrap w:val="false"/>
          </w:tcPr>
          <w:p>
            <w:pPr>
              <w:pStyle w:val="1237"/>
              <w:jc w:val="center"/>
              <w:rPr>
                <w:rFonts w:hint="eastAsia" w:ascii="宋体" w:hAnsi="宋体" w:cs="宋体"/>
                <w:sz w:val="21"/>
                <w:szCs w:val="21"/>
                <w:highlight w:val="none"/>
                <w:lang w:val="en-US" w:eastAsia="zh-CN" w:bidi="ar-SA"/>
              </w:rPr>
            </w:pPr>
            <w:r>
              <w:rPr>
                <w:rFonts w:hAnsi="宋体" w:cs="宋体"/>
                <w:szCs w:val="21"/>
                <w:highlight w:val="none"/>
              </w:rPr>
              <w:t xml:space="preserve">26</w:t>
            </w:r>
            <w:r>
              <w:rPr>
                <w:rFonts w:hint="eastAsia" w:ascii="宋体" w:hAnsi="宋体" w:cs="宋体"/>
                <w:sz w:val="21"/>
                <w:szCs w:val="21"/>
                <w:highlight w:val="none"/>
                <w:lang w:val="en-US" w:eastAsia="zh-CN" w:bidi="ar-SA"/>
              </w:rPr>
            </w:r>
            <w:r/>
          </w:p>
        </w:tc>
        <w:tc>
          <w:tcPr>
            <w:tcW w:w="1701" w:type="dxa"/>
            <w:vAlign w:val="center"/>
            <w:textDirection w:val="lrTb"/>
            <w:noWrap w:val="false"/>
          </w:tcPr>
          <w:p>
            <w:pPr>
              <w:pStyle w:val="1197"/>
              <w:jc w:val="center"/>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纸质响应文件</w:t>
            </w:r>
            <w:r>
              <w:rPr>
                <w:rFonts w:hint="eastAsia" w:ascii="宋体" w:hAnsi="宋体" w:cs="宋体"/>
                <w:sz w:val="21"/>
                <w:szCs w:val="21"/>
                <w:highlight w:val="none"/>
                <w:lang w:val="en-US" w:eastAsia="zh-CN" w:bidi="ar-SA"/>
              </w:rPr>
            </w:r>
            <w:r/>
          </w:p>
        </w:tc>
        <w:tc>
          <w:tcPr>
            <w:tcW w:w="7253" w:type="dxa"/>
            <w:vAlign w:val="center"/>
            <w:textDirection w:val="lrTb"/>
            <w:noWrap w:val="false"/>
          </w:tcPr>
          <w:p>
            <w:pPr>
              <w:pStyle w:val="1197"/>
              <w:jc w:val="left"/>
              <w:rPr>
                <w:rFonts w:hint="eastAsia" w:ascii="宋体" w:hAnsi="宋体" w:cs="宋体"/>
                <w:b/>
                <w:bCs/>
                <w:szCs w:val="21"/>
                <w:highlight w:val="none"/>
              </w:rPr>
            </w:pPr>
            <w:r>
              <w:rPr>
                <w:rFonts w:hint="eastAsia" w:ascii="宋体" w:hAnsi="宋体" w:cs="宋体"/>
                <w:b/>
                <w:bCs/>
                <w:szCs w:val="21"/>
                <w:highlight w:val="none"/>
              </w:rPr>
              <w:t xml:space="preserve">成交供应商在签订合同前向代理机构提供正本1套、副本2套纸质响应文件，</w:t>
            </w:r>
            <w:r>
              <w:rPr>
                <w:rFonts w:hint="eastAsia" w:ascii="宋体" w:hAnsi="宋体" w:cs="宋体"/>
                <w:b/>
                <w:bCs/>
                <w:szCs w:val="21"/>
                <w:highlight w:val="none"/>
              </w:rPr>
            </w:r>
            <w:r/>
          </w:p>
          <w:p>
            <w:pPr>
              <w:pStyle w:val="1197"/>
              <w:jc w:val="left"/>
              <w:rPr>
                <w:rFonts w:hint="eastAsia" w:ascii="宋体" w:hAnsi="宋体" w:cs="宋体"/>
                <w:b/>
                <w:bCs/>
                <w:sz w:val="21"/>
                <w:szCs w:val="21"/>
                <w:highlight w:val="none"/>
                <w:u w:val="single"/>
                <w:lang w:val="en-US" w:eastAsia="zh-CN" w:bidi="ar-SA"/>
              </w:rPr>
            </w:pPr>
            <w:r>
              <w:rPr>
                <w:rFonts w:hint="eastAsia" w:ascii="宋体" w:hAnsi="宋体" w:cs="宋体"/>
                <w:b/>
                <w:bCs/>
                <w:szCs w:val="21"/>
                <w:highlight w:val="none"/>
              </w:rPr>
              <w:t xml:space="preserve">在每一份纸质响应文件上要明确注明“正本” 或“副本”字样。</w:t>
            </w:r>
            <w:r>
              <w:rPr>
                <w:rFonts w:hint="eastAsia" w:ascii="宋体" w:hAnsi="宋体" w:cs="宋体"/>
                <w:b/>
                <w:bCs/>
                <w:sz w:val="21"/>
                <w:szCs w:val="21"/>
                <w:highlight w:val="none"/>
                <w:u w:val="single"/>
                <w:lang w:val="en-US" w:eastAsia="zh-CN" w:bidi="ar-SA"/>
              </w:rPr>
            </w:r>
            <w:r/>
          </w:p>
        </w:tc>
      </w:tr>
      <w:tr>
        <w:trPr>
          <w:trHeight w:val="772"/>
        </w:trPr>
        <w:tc>
          <w:tcPr>
            <w:tcW w:w="988" w:type="dxa"/>
            <w:vAlign w:val="center"/>
            <w:textDirection w:val="lrTb"/>
            <w:noWrap w:val="false"/>
          </w:tcPr>
          <w:p>
            <w:pPr>
              <w:pStyle w:val="1237"/>
              <w:jc w:val="center"/>
              <w:rPr>
                <w:rFonts w:hAnsi="宋体" w:eastAsia="宋体" w:cs="宋体"/>
                <w:szCs w:val="21"/>
                <w:highlight w:val="none"/>
                <w:lang w:val="en-US" w:eastAsia="zh-CN"/>
              </w:rPr>
            </w:pPr>
            <w:r>
              <w:rPr>
                <w:rFonts w:hint="eastAsia" w:hAnsi="宋体" w:cs="宋体"/>
                <w:b/>
                <w:bCs/>
                <w:szCs w:val="21"/>
                <w:highlight w:val="none"/>
                <w:lang w:val="en-US" w:eastAsia="zh-CN"/>
              </w:rPr>
              <w:t xml:space="preserve">27</w:t>
            </w:r>
            <w:r>
              <w:rPr>
                <w:rFonts w:hAnsi="宋体" w:eastAsia="宋体" w:cs="宋体"/>
                <w:szCs w:val="21"/>
                <w:highlight w:val="none"/>
                <w:lang w:val="en-US" w:eastAsia="zh-CN"/>
              </w:rPr>
            </w:r>
            <w:r/>
          </w:p>
        </w:tc>
        <w:tc>
          <w:tcPr>
            <w:tcW w:w="1701" w:type="dxa"/>
            <w:vAlign w:val="center"/>
            <w:textDirection w:val="lrTb"/>
            <w:noWrap w:val="false"/>
          </w:tcPr>
          <w:p>
            <w:pPr>
              <w:pStyle w:val="1197"/>
              <w:jc w:val="center"/>
              <w:rPr>
                <w:rFonts w:hint="eastAsia" w:ascii="宋体" w:hAnsi="宋体" w:eastAsia="宋体" w:cs="宋体"/>
                <w:sz w:val="21"/>
                <w:szCs w:val="21"/>
                <w:highlight w:val="none"/>
              </w:rPr>
            </w:pPr>
            <w:r>
              <w:rPr>
                <w:rFonts w:hint="eastAsia" w:ascii="宋体" w:hAnsi="宋体" w:eastAsia="宋体" w:cs="宋体"/>
                <w:b/>
                <w:bCs/>
                <w:color w:val="000000"/>
                <w:sz w:val="21"/>
                <w:szCs w:val="21"/>
              </w:rPr>
              <w:t xml:space="preserve">重要提醒</w:t>
            </w:r>
            <w:r>
              <w:rPr>
                <w:rFonts w:hint="eastAsia" w:ascii="宋体" w:hAnsi="宋体" w:eastAsia="宋体" w:cs="宋体"/>
                <w:sz w:val="21"/>
                <w:szCs w:val="21"/>
                <w:highlight w:val="none"/>
              </w:rPr>
            </w:r>
            <w:r/>
          </w:p>
        </w:tc>
        <w:tc>
          <w:tcPr>
            <w:tcW w:w="7253" w:type="dxa"/>
            <w:vAlign w:val="center"/>
            <w:textDirection w:val="lrTb"/>
            <w:noWrap w:val="false"/>
          </w:tcPr>
          <w:p>
            <w:pPr>
              <w:pStyle w:val="1197"/>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rPr>
              <w:t xml:space="preserve">根据省厅规范要求，当前苏彩云系统中，竞争性磋商/谈判项目，评审委员会开启多轮报价时，仅能进行一次报价即为“最终报价”</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供应商需保障当时人员在线，关注苏彩云系统，及时提交最终报价。</w:t>
            </w:r>
            <w:r>
              <w:rPr>
                <w:rFonts w:hint="eastAsia" w:ascii="宋体" w:hAnsi="宋体" w:eastAsia="宋体" w:cs="宋体"/>
                <w:b/>
                <w:bCs/>
                <w:color w:val="000000"/>
                <w:sz w:val="21"/>
                <w:szCs w:val="21"/>
              </w:rPr>
            </w:r>
            <w:r/>
          </w:p>
          <w:p>
            <w:pPr>
              <w:pStyle w:val="1197"/>
              <w:jc w:val="left"/>
              <w:rPr>
                <w:rFonts w:hint="eastAsia" w:ascii="宋体" w:hAnsi="宋体" w:eastAsia="宋体" w:cs="宋体"/>
                <w:b/>
                <w:bCs/>
                <w:sz w:val="21"/>
                <w:szCs w:val="21"/>
                <w:highlight w:val="none"/>
              </w:rPr>
            </w:pP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rPr>
              <w:t xml:space="preserve">若评审委员会开启“最终报价”后，相应供应商未及时在苏彩云系统中响应报价的，报价时间截止后，该供应商视为放弃参与评审，将被废标处理。若最终实际报价供应商不满3家，按政府采购法规要求，该项目作废标处理。</w:t>
            </w:r>
            <w:r>
              <w:rPr>
                <w:rFonts w:hint="eastAsia" w:ascii="宋体" w:hAnsi="宋体" w:eastAsia="宋体" w:cs="宋体"/>
                <w:b/>
                <w:bCs/>
                <w:sz w:val="21"/>
                <w:szCs w:val="21"/>
                <w:highlight w:val="none"/>
              </w:rPr>
            </w:r>
            <w:r/>
          </w:p>
        </w:tc>
      </w:tr>
    </w:tbl>
    <w:p>
      <w:pPr>
        <w:pStyle w:val="1197"/>
        <w:jc w:val="both"/>
        <w:spacing w:line="360" w:lineRule="auto"/>
        <w:tabs>
          <w:tab w:val="left" w:pos="5580" w:leader="none"/>
        </w:tabs>
        <w:rPr>
          <w:sz w:val="24"/>
        </w:rPr>
        <w:sectPr>
          <w:footerReference w:type="default"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1199"/>
        <w:spacing w:before="0" w:line="360" w:lineRule="auto"/>
        <w:tabs>
          <w:tab w:val="center" w:pos="4592" w:leader="none"/>
          <w:tab w:val="left" w:pos="7860" w:leader="none"/>
        </w:tabs>
        <w:rPr>
          <w:rFonts w:ascii="Times New Roman" w:hAnsi="Times New Roman" w:eastAsia="宋体" w:cs="Times New Roman"/>
          <w:b/>
          <w:sz w:val="28"/>
        </w:rPr>
      </w:pPr>
      <w:r>
        <w:rPr>
          <w:rFonts w:ascii="Times New Roman" w:hAnsi="Times New Roman" w:eastAsia="宋体" w:cs="Times New Roman"/>
          <w:b/>
          <w:sz w:val="28"/>
        </w:rPr>
        <w:t xml:space="preserve">供应商须知</w:t>
      </w:r>
      <w:r>
        <w:rPr>
          <w:rFonts w:ascii="Times New Roman" w:hAnsi="Times New Roman" w:eastAsia="宋体" w:cs="Times New Roman"/>
          <w:b/>
          <w:sz w:val="28"/>
        </w:rPr>
      </w:r>
      <w:r/>
    </w:p>
    <w:p>
      <w:pPr>
        <w:pStyle w:val="1199"/>
        <w:jc w:val="left"/>
        <w:spacing w:before="0" w:line="360" w:lineRule="auto"/>
        <w:tabs>
          <w:tab w:val="center" w:pos="4592" w:leader="none"/>
          <w:tab w:val="left" w:pos="7860" w:leader="none"/>
        </w:tabs>
        <w:rPr>
          <w:rFonts w:ascii="Times New Roman" w:hAnsi="Times New Roman" w:eastAsia="宋体"/>
          <w:sz w:val="28"/>
        </w:rPr>
      </w:pPr>
      <w:r/>
      <w:bookmarkStart w:id="72" w:name="_Toc127151518"/>
      <w:r/>
      <w:bookmarkStart w:id="73" w:name="_Toc520356143"/>
      <w:r>
        <w:rPr>
          <w:rFonts w:ascii="Times New Roman" w:hAnsi="Times New Roman" w:eastAsia="宋体"/>
          <w:sz w:val="28"/>
        </w:rPr>
        <w:tab/>
      </w:r>
      <w:bookmarkStart w:id="74" w:name="_Toc150509269"/>
      <w:r/>
      <w:bookmarkStart w:id="75" w:name="_Toc195842883"/>
      <w:r/>
      <w:bookmarkStart w:id="76" w:name="_Toc265228356"/>
      <w:r/>
      <w:bookmarkStart w:id="77" w:name="_Toc305158860"/>
      <w:r/>
      <w:bookmarkStart w:id="78" w:name="_Toc150480756"/>
      <w:r/>
      <w:bookmarkStart w:id="79" w:name="_Toc150774723"/>
      <w:r/>
      <w:bookmarkStart w:id="80" w:name="_Toc151193832"/>
      <w:r/>
      <w:bookmarkStart w:id="81" w:name="_Toc151193906"/>
      <w:r/>
      <w:bookmarkStart w:id="82" w:name="_Toc151190145"/>
      <w:r/>
      <w:bookmarkStart w:id="83" w:name="_Toc226965708"/>
      <w:r/>
      <w:bookmarkStart w:id="84" w:name="_Toc142311020"/>
      <w:r/>
      <w:bookmarkStart w:id="85" w:name="_Toc226337214"/>
      <w:r/>
      <w:bookmarkStart w:id="86" w:name="_Toc226309762"/>
      <w:r/>
      <w:bookmarkStart w:id="87" w:name="_Toc151193616"/>
      <w:r/>
      <w:bookmarkStart w:id="88" w:name="_Toc226965791"/>
      <w:r/>
      <w:bookmarkStart w:id="89" w:name="_Toc151193760"/>
      <w:r/>
      <w:bookmarkStart w:id="90" w:name="_Toc151193688"/>
      <w:r/>
      <w:bookmarkStart w:id="91" w:name="_Toc150774618"/>
      <w:r/>
      <w:bookmarkStart w:id="92" w:name="_Toc264969208"/>
      <w:r/>
      <w:bookmarkStart w:id="93" w:name="_Toc305158786"/>
      <w:r>
        <w:rPr>
          <w:rFonts w:ascii="Times New Roman" w:hAnsi="Times New Roman" w:eastAsia="宋体" w:cs="Times New Roman"/>
          <w:b/>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rPr>
          <w:rFonts w:ascii="Times New Roman" w:hAnsi="Times New Roman" w:eastAsia="宋体"/>
          <w:sz w:val="28"/>
        </w:rPr>
      </w:r>
      <w:r/>
    </w:p>
    <w:p>
      <w:pPr>
        <w:pStyle w:val="1197"/>
        <w:numPr>
          <w:ilvl w:val="0"/>
          <w:numId w:val="0"/>
        </w:numPr>
        <w:ind w:firstLine="210"/>
        <w:jc w:val="left"/>
        <w:spacing w:line="360" w:lineRule="auto"/>
        <w:tabs>
          <w:tab w:val="left" w:pos="360" w:leader="none"/>
        </w:tabs>
        <w:rPr>
          <w:rFonts w:hint="eastAsia" w:ascii="宋体" w:hAnsi="宋体" w:eastAsia="宋体" w:cs="宋体"/>
          <w:sz w:val="21"/>
          <w:szCs w:val="21"/>
        </w:rPr>
        <w:outlineLvl w:val="1"/>
      </w:pPr>
      <w:r/>
      <w:bookmarkStart w:id="94" w:name="_Toc265228357"/>
      <w:r/>
      <w:bookmarkStart w:id="95" w:name="_Toc305158861"/>
      <w:r/>
      <w:bookmarkStart w:id="96" w:name="_Toc264969209"/>
      <w:r/>
      <w:bookmarkStart w:id="97" w:name="_Toc305158787"/>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采购人、采购代理机构、供应商</w:t>
      </w:r>
      <w:bookmarkEnd w:id="94"/>
      <w:r/>
      <w:bookmarkEnd w:id="95"/>
      <w:r/>
      <w:bookmarkEnd w:id="96"/>
      <w:r/>
      <w:bookmarkEnd w:id="97"/>
      <w:r>
        <w:rPr>
          <w:rFonts w:hint="eastAsia" w:ascii="宋体" w:hAnsi="宋体" w:eastAsia="宋体" w:cs="宋体"/>
          <w:sz w:val="21"/>
          <w:szCs w:val="21"/>
        </w:rPr>
        <w:t xml:space="preserve">、联合体</w:t>
      </w:r>
      <w:r>
        <w:rPr>
          <w:rFonts w:hint="eastAsia" w:ascii="宋体" w:hAnsi="宋体" w:eastAsia="宋体" w:cs="宋体"/>
          <w:sz w:val="21"/>
          <w:szCs w:val="21"/>
        </w:rPr>
      </w:r>
      <w:r/>
    </w:p>
    <w:p>
      <w:pPr>
        <w:pStyle w:val="1197"/>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sz w:val="21"/>
          <w:szCs w:val="21"/>
        </w:rPr>
      </w:r>
      <w:r/>
    </w:p>
    <w:p>
      <w:pPr>
        <w:pStyle w:val="1197"/>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供应商（也称“申请人”）：指向采购人提供货物、工程或者服务的法人、其他组织或者自然人。</w:t>
      </w:r>
      <w:r>
        <w:rPr>
          <w:rFonts w:hint="eastAsia" w:ascii="宋体" w:hAnsi="宋体" w:eastAsia="宋体" w:cs="宋体"/>
          <w:sz w:val="21"/>
          <w:szCs w:val="21"/>
        </w:rPr>
      </w:r>
      <w:r/>
    </w:p>
    <w:p>
      <w:pPr>
        <w:pStyle w:val="1197"/>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联合体：指两个以上的自然人、法人或者其他组织组成一个联合体，以一个供应商的身份共同参加政府采购。</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Start w:id="98" w:name="_Toc150774620"/>
      <w:r/>
      <w:bookmarkStart w:id="99" w:name="_Toc127151520"/>
      <w:r/>
      <w:bookmarkStart w:id="100" w:name="_Toc151193762"/>
      <w:r/>
      <w:bookmarkStart w:id="101" w:name="_Toc150774725"/>
      <w:r/>
      <w:bookmarkStart w:id="102" w:name="_Toc164229361"/>
      <w:r/>
      <w:bookmarkStart w:id="103" w:name="_Toc164608634"/>
      <w:r/>
      <w:bookmarkStart w:id="104" w:name="_Toc150509271"/>
      <w:r/>
      <w:bookmarkStart w:id="105" w:name="_Toc226965793"/>
      <w:r/>
      <w:bookmarkStart w:id="106" w:name="_Toc151193690"/>
      <w:r/>
      <w:bookmarkStart w:id="107" w:name="_Toc226309764"/>
      <w:r/>
      <w:bookmarkStart w:id="108" w:name="_Toc264969210"/>
      <w:r/>
      <w:bookmarkStart w:id="109" w:name="_Toc149720813"/>
      <w:r/>
      <w:bookmarkStart w:id="110" w:name="_Toc151193908"/>
      <w:r/>
      <w:bookmarkStart w:id="111" w:name="_Toc127151721"/>
      <w:r/>
      <w:bookmarkStart w:id="112" w:name="_Toc127161434"/>
      <w:r/>
      <w:bookmarkStart w:id="113" w:name="_Toc305158862"/>
      <w:r/>
      <w:bookmarkStart w:id="114" w:name="_Toc226337216"/>
      <w:r/>
      <w:bookmarkStart w:id="115" w:name="_Toc151193618"/>
      <w:r/>
      <w:bookmarkStart w:id="116" w:name="_Toc265228358"/>
      <w:r/>
      <w:bookmarkStart w:id="117" w:name="_Toc164229215"/>
      <w:r/>
      <w:bookmarkStart w:id="118" w:name="_Toc142311022"/>
      <w:r/>
      <w:bookmarkStart w:id="119" w:name="_Toc164608789"/>
      <w:r/>
      <w:bookmarkStart w:id="120" w:name="_Toc195842885"/>
      <w:r/>
      <w:bookmarkStart w:id="121" w:name="_Toc151190147"/>
      <w:r/>
      <w:bookmarkStart w:id="122" w:name="_Toc151193834"/>
      <w:r/>
      <w:bookmarkStart w:id="123" w:name="_Toc164351614"/>
      <w:r/>
      <w:bookmarkStart w:id="124" w:name="_Toc150480758"/>
      <w:r/>
      <w:bookmarkStart w:id="125" w:name="_Toc226965710"/>
      <w:r/>
      <w:bookmarkStart w:id="126" w:name="_Toc305158788"/>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eastAsia="宋体" w:cs="宋体"/>
          <w:sz w:val="21"/>
          <w:szCs w:val="21"/>
        </w:rPr>
        <w:t xml:space="preserve">、项目属性、科研仪器设备采购</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资金来源为财政性资金和/或本项目采购中无法与财政性资金分割的非财政性资金。</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项目属性见《供应商须知资料表》。</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是否属于科研仪器设备采购见《供应商须知资料表》。</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现场考察、磋商前答疑会</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若《供应商须知资料表》中规定了组织现场考察、召开磋商前答疑会，则供应商应按要求在规定的时间和地点参加。</w:t>
      </w:r>
      <w:bookmarkStart w:id="127" w:name="_Toc520356146"/>
      <w:r/>
      <w:bookmarkStart w:id="128" w:name="_Toc151193910"/>
      <w:r/>
      <w:bookmarkStart w:id="129" w:name="_Toc264969212"/>
      <w:r/>
      <w:bookmarkStart w:id="130" w:name="_Toc142311024"/>
      <w:r/>
      <w:bookmarkStart w:id="131" w:name="_Toc150480760"/>
      <w:r/>
      <w:bookmarkStart w:id="132" w:name="_Toc151193620"/>
      <w:r/>
      <w:bookmarkStart w:id="133" w:name="_Toc226309766"/>
      <w:r/>
      <w:bookmarkStart w:id="134" w:name="_Toc226965795"/>
      <w:r/>
      <w:bookmarkStart w:id="135" w:name="_Toc305158864"/>
      <w:r/>
      <w:bookmarkStart w:id="136" w:name="_Toc150509273"/>
      <w:r/>
      <w:bookmarkStart w:id="137" w:name="_Toc151193836"/>
      <w:r/>
      <w:bookmarkStart w:id="138" w:name="_Toc265228360"/>
      <w:r/>
      <w:bookmarkStart w:id="139" w:name="_Toc195842887"/>
      <w:r/>
      <w:bookmarkStart w:id="140" w:name="_Toc150774727"/>
      <w:r/>
      <w:bookmarkStart w:id="141" w:name="_Toc305158790"/>
      <w:r/>
      <w:bookmarkStart w:id="142" w:name="_Toc226337218"/>
      <w:r/>
      <w:bookmarkStart w:id="143" w:name="_Toc151193764"/>
      <w:r/>
      <w:bookmarkStart w:id="144" w:name="_Toc127151522"/>
      <w:r/>
      <w:bookmarkStart w:id="145" w:name="_Toc151193692"/>
      <w:r/>
      <w:bookmarkStart w:id="146" w:name="_Toc151190149"/>
      <w:r/>
      <w:bookmarkStart w:id="147" w:name="_Toc226965712"/>
      <w:r/>
      <w:bookmarkStart w:id="148" w:name="_Toc150774622"/>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政府采购政策（包括但不限于下列具体政策要求）</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4.1</w:t>
      </w:r>
      <w:r>
        <w:rPr>
          <w:rFonts w:hint="eastAsia" w:ascii="宋体" w:hAnsi="宋体" w:eastAsia="宋体" w:cs="宋体"/>
          <w:sz w:val="21"/>
          <w:szCs w:val="21"/>
        </w:rPr>
        <w:t xml:space="preserve">进口产品</w:t>
      </w:r>
      <w:r>
        <w:rPr>
          <w:rFonts w:hint="eastAsia" w:ascii="宋体" w:hAnsi="宋体" w:eastAsia="宋体" w:cs="宋体"/>
          <w:sz w:val="21"/>
          <w:szCs w:val="21"/>
        </w:rPr>
      </w:r>
      <w:r/>
    </w:p>
    <w:p>
      <w:pPr>
        <w:pStyle w:val="1197"/>
        <w:numPr>
          <w:ilvl w:val="0"/>
          <w:numId w:val="0"/>
        </w:numPr>
        <w:ind w:firstLine="42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4.1.1</w:t>
      </w:r>
      <w:r>
        <w:rPr>
          <w:rFonts w:hint="eastAsia" w:ascii="宋体" w:hAnsi="宋体" w:eastAsia="宋体" w:cs="宋体"/>
          <w:sz w:val="2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4.2</w:t>
      </w:r>
      <w:r>
        <w:rPr>
          <w:rFonts w:hint="eastAsia" w:ascii="宋体" w:hAnsi="宋体" w:eastAsia="宋体" w:cs="宋体"/>
          <w:sz w:val="21"/>
          <w:szCs w:val="21"/>
        </w:rPr>
        <w:t xml:space="preserve">中小企业、监狱企业及残疾人福利性单位</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4.2.1</w:t>
      </w:r>
      <w:r>
        <w:rPr>
          <w:rFonts w:hint="eastAsia" w:ascii="宋体" w:hAnsi="宋体" w:eastAsia="宋体" w:cs="宋体"/>
          <w:sz w:val="21"/>
          <w:szCs w:val="21"/>
        </w:rPr>
        <w:t xml:space="preserve">中小企业定义：</w:t>
      </w:r>
      <w:r>
        <w:rPr>
          <w:rFonts w:hint="eastAsia" w:ascii="宋体" w:hAnsi="宋体" w:eastAsia="宋体" w:cs="宋体"/>
          <w:sz w:val="21"/>
          <w:szCs w:val="21"/>
        </w:rPr>
      </w:r>
      <w:r/>
    </w:p>
    <w:p>
      <w:pPr>
        <w:pStyle w:val="1197"/>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4.2.1.1</w:t>
      </w: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rPr>
      </w:r>
      <w:r/>
    </w:p>
    <w:p>
      <w:pPr>
        <w:pStyle w:val="1197"/>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4.2.1.2</w:t>
      </w:r>
      <w:r>
        <w:rPr>
          <w:rFonts w:hint="eastAsia" w:ascii="宋体" w:hAnsi="宋体" w:eastAsia="宋体" w:cs="宋体"/>
          <w:sz w:val="21"/>
          <w:szCs w:val="21"/>
        </w:rPr>
        <w:t xml:space="preserve">供应商提供的货物、工程或者服务符合下列情形的，享受中小企业扶持政策：</w:t>
      </w:r>
      <w:r>
        <w:rPr>
          <w:rFonts w:hint="eastAsia" w:ascii="宋体" w:hAnsi="宋体" w:eastAsia="宋体" w:cs="宋体"/>
          <w:color w:val="000000"/>
          <w:sz w:val="21"/>
          <w:szCs w:val="21"/>
        </w:rPr>
      </w:r>
      <w:r/>
    </w:p>
    <w:p>
      <w:pPr>
        <w:pStyle w:val="1197"/>
        <w:ind w:firstLine="420"/>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在货物采购项目中，货物由中小企业制造，即货物由中小企业生产且使用该中小企业商号或者注册商标；</w:t>
      </w:r>
      <w:r>
        <w:rPr>
          <w:rFonts w:hint="eastAsia" w:ascii="宋体" w:hAnsi="宋体" w:eastAsia="宋体" w:cs="宋体"/>
          <w:color w:val="000000"/>
          <w:sz w:val="21"/>
          <w:szCs w:val="21"/>
        </w:rPr>
      </w:r>
      <w:r/>
    </w:p>
    <w:p>
      <w:pPr>
        <w:pStyle w:val="1197"/>
        <w:ind w:firstLine="420"/>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在工程采购项目中，工程由中小企业承建，即工程施工单位为中小企业；</w:t>
      </w:r>
      <w:r>
        <w:rPr>
          <w:rFonts w:hint="eastAsia" w:ascii="宋体" w:hAnsi="宋体" w:eastAsia="宋体" w:cs="宋体"/>
          <w:color w:val="000000"/>
          <w:sz w:val="21"/>
          <w:szCs w:val="21"/>
        </w:rPr>
      </w:r>
      <w:r/>
    </w:p>
    <w:p>
      <w:pPr>
        <w:pStyle w:val="1197"/>
        <w:ind w:firstLine="420"/>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rPr>
      </w:r>
      <w:r/>
    </w:p>
    <w:p>
      <w:pPr>
        <w:pStyle w:val="1197"/>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4.2.1.3</w:t>
      </w:r>
      <w:r>
        <w:rPr>
          <w:rFonts w:hint="eastAsia" w:ascii="宋体" w:hAnsi="宋体" w:eastAsia="宋体" w:cs="宋体"/>
          <w:sz w:val="21"/>
          <w:szCs w:val="21"/>
        </w:rPr>
        <w:t xml:space="preserve">在货物采购项目中，供应商提供的货物既有中小企业制造货物，也有大型企业制造货物的，不享受中小企业扶持政策。</w:t>
      </w:r>
      <w:r>
        <w:rPr>
          <w:rFonts w:hint="eastAsia" w:ascii="宋体" w:hAnsi="宋体" w:eastAsia="宋体" w:cs="宋体"/>
          <w:sz w:val="21"/>
          <w:szCs w:val="21"/>
        </w:rPr>
      </w:r>
      <w:r/>
    </w:p>
    <w:p>
      <w:pPr>
        <w:pStyle w:val="1197"/>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4.2.1.4</w:t>
      </w:r>
      <w:r>
        <w:rPr>
          <w:rFonts w:hint="eastAsia" w:ascii="宋体" w:hAnsi="宋体" w:eastAsia="宋体" w:cs="宋体"/>
          <w:color w:val="000000"/>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4.2.2</w:t>
      </w:r>
      <w:r>
        <w:rPr>
          <w:rFonts w:hint="eastAsia" w:ascii="宋体" w:hAnsi="宋体" w:eastAsia="宋体" w:cs="宋体"/>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4.2.3</w:t>
      </w:r>
      <w:r>
        <w:rPr>
          <w:rFonts w:hint="eastAsia" w:ascii="宋体" w:hAnsi="宋体" w:eastAsia="宋体" w:cs="宋体"/>
          <w:sz w:val="21"/>
          <w:szCs w:val="21"/>
        </w:rPr>
        <w:t xml:space="preserve">残疾人福利单位定义：享受政府采购支持政策的残疾人福利性单位应当同时满足以下条件：</w:t>
      </w:r>
      <w:r>
        <w:rPr>
          <w:rFonts w:hint="eastAsia" w:ascii="宋体" w:hAnsi="宋体" w:eastAsia="宋体" w:cs="宋体"/>
          <w:sz w:val="21"/>
          <w:szCs w:val="21"/>
        </w:rPr>
      </w:r>
      <w:r/>
    </w:p>
    <w:p>
      <w:pPr>
        <w:pStyle w:val="1197"/>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4.2.3.1</w:t>
      </w:r>
      <w:r>
        <w:rPr>
          <w:rFonts w:hint="eastAsia" w:ascii="宋体" w:hAnsi="宋体" w:eastAsia="宋体" w:cs="宋体"/>
          <w:color w:val="000000"/>
          <w:sz w:val="21"/>
          <w:szCs w:val="21"/>
        </w:rPr>
        <w:t xml:space="preserve">安置的残疾人占本单位在职职工人数的比例不低于25%（含25%），并且安置的残疾人人数不少于10 人（含10 人）；</w:t>
      </w:r>
      <w:r>
        <w:rPr>
          <w:rFonts w:hint="eastAsia" w:ascii="宋体" w:hAnsi="宋体" w:eastAsia="宋体" w:cs="宋体"/>
          <w:color w:val="000000"/>
          <w:sz w:val="21"/>
          <w:szCs w:val="21"/>
        </w:rPr>
      </w:r>
      <w:r/>
    </w:p>
    <w:p>
      <w:pPr>
        <w:pStyle w:val="1197"/>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4.2.3.2</w:t>
      </w:r>
      <w:r>
        <w:rPr>
          <w:rFonts w:hint="eastAsia" w:ascii="宋体" w:hAnsi="宋体" w:eastAsia="宋体" w:cs="宋体"/>
          <w:sz w:val="21"/>
          <w:szCs w:val="21"/>
        </w:rPr>
        <w:t xml:space="preserve">依法与安置的每位残疾人签订了一年以上（含一年）的劳动合同或服务协议；</w:t>
      </w:r>
      <w:r>
        <w:rPr>
          <w:rFonts w:hint="eastAsia" w:ascii="宋体" w:hAnsi="宋体" w:eastAsia="宋体" w:cs="宋体"/>
          <w:color w:val="000000"/>
          <w:sz w:val="21"/>
          <w:szCs w:val="21"/>
        </w:rPr>
      </w:r>
      <w:r/>
    </w:p>
    <w:p>
      <w:pPr>
        <w:pStyle w:val="1197"/>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4.2.3.3</w:t>
      </w:r>
      <w:r>
        <w:rPr>
          <w:rFonts w:hint="eastAsia" w:ascii="宋体" w:hAnsi="宋体" w:eastAsia="宋体" w:cs="宋体"/>
          <w:sz w:val="21"/>
          <w:szCs w:val="21"/>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1"/>
          <w:szCs w:val="21"/>
        </w:rPr>
      </w:r>
      <w:r/>
    </w:p>
    <w:p>
      <w:pPr>
        <w:pStyle w:val="1197"/>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4.2.3.4</w:t>
      </w:r>
      <w:r>
        <w:rPr>
          <w:rFonts w:hint="eastAsia" w:ascii="宋体" w:hAnsi="宋体" w:eastAsia="宋体" w:cs="宋体"/>
          <w:sz w:val="21"/>
          <w:szCs w:val="21"/>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rPr>
      </w:r>
      <w:r/>
    </w:p>
    <w:p>
      <w:pPr>
        <w:pStyle w:val="1197"/>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4.2.3.5</w:t>
      </w:r>
      <w:r>
        <w:rPr>
          <w:rFonts w:hint="eastAsia" w:ascii="宋体" w:hAnsi="宋体" w:eastAsia="宋体" w:cs="宋体"/>
          <w:sz w:val="21"/>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rPr>
      </w:r>
      <w:r/>
    </w:p>
    <w:p>
      <w:pPr>
        <w:pStyle w:val="1197"/>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4.2.3.6</w:t>
      </w:r>
      <w:r>
        <w:rPr>
          <w:rFonts w:hint="eastAsia" w:ascii="宋体" w:hAnsi="宋体" w:eastAsia="宋体" w:cs="宋体"/>
          <w:sz w:val="21"/>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4.2.4</w:t>
      </w:r>
      <w:r>
        <w:rPr>
          <w:rFonts w:hint="eastAsia" w:ascii="宋体" w:hAnsi="宋体" w:eastAsia="宋体" w:cs="宋体"/>
          <w:sz w:val="21"/>
          <w:szCs w:val="21"/>
        </w:rPr>
        <w:t xml:space="preserve">本项目是否专门面向中小企业预留采购份额见第一章《采购邀请》。</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4.2.5</w:t>
      </w:r>
      <w:r>
        <w:rPr>
          <w:rFonts w:hint="eastAsia" w:ascii="宋体" w:hAnsi="宋体" w:eastAsia="宋体" w:cs="宋体"/>
          <w:sz w:val="21"/>
          <w:szCs w:val="21"/>
        </w:rPr>
        <w:t xml:space="preserve">采购标的对应的中小企业划分标准所属行业见《供应商须知资料表》。</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4.2.6</w:t>
      </w:r>
      <w:r>
        <w:rPr>
          <w:rFonts w:hint="eastAsia" w:ascii="宋体" w:hAnsi="宋体" w:eastAsia="宋体" w:cs="宋体"/>
          <w:sz w:val="21"/>
          <w:szCs w:val="21"/>
        </w:rPr>
        <w:t xml:space="preserve">小微企业价格评审优惠的政策调整：见第三章《评审方法和评审标准》。</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4.3</w:t>
      </w:r>
      <w:r>
        <w:rPr>
          <w:rFonts w:hint="eastAsia" w:ascii="宋体" w:hAnsi="宋体" w:eastAsia="宋体" w:cs="宋体"/>
          <w:sz w:val="21"/>
          <w:szCs w:val="21"/>
        </w:rPr>
        <w:t xml:space="preserve">政府采购节能产品、环境标志产品</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4.3.1</w:t>
      </w:r>
      <w:r>
        <w:rPr>
          <w:rFonts w:hint="eastAsia" w:ascii="宋体" w:hAnsi="宋体" w:eastAsia="宋体" w:cs="宋体"/>
          <w:sz w:val="2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4.3.2</w:t>
      </w:r>
      <w:r>
        <w:rPr>
          <w:rFonts w:hint="eastAsia" w:ascii="宋体" w:hAnsi="宋体" w:eastAsia="宋体" w:cs="宋体"/>
          <w:sz w:val="2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4.3.3</w:t>
      </w:r>
      <w:r>
        <w:rPr>
          <w:rFonts w:hint="eastAsia" w:ascii="宋体" w:hAnsi="宋体" w:eastAsia="宋体" w:cs="宋体"/>
          <w:sz w:val="21"/>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4.3.4</w:t>
      </w:r>
      <w:r>
        <w:rPr>
          <w:rFonts w:hint="eastAsia" w:ascii="宋体" w:hAnsi="宋体" w:eastAsia="宋体" w:cs="宋体"/>
          <w:sz w:val="21"/>
          <w:szCs w:val="21"/>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sz w:val="21"/>
          <w:szCs w:val="21"/>
        </w:rPr>
      </w:r>
      <w:r/>
    </w:p>
    <w:p>
      <w:pPr>
        <w:pStyle w:val="1197"/>
        <w:numPr>
          <w:ilvl w:val="0"/>
          <w:numId w:val="0"/>
        </w:numPr>
        <w:ind w:firstLine="42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4.3.5</w:t>
      </w:r>
      <w:r>
        <w:rPr>
          <w:rFonts w:hint="eastAsia" w:ascii="宋体" w:hAnsi="宋体" w:eastAsia="宋体" w:cs="宋体"/>
          <w:sz w:val="21"/>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4.4</w:t>
      </w:r>
      <w:r>
        <w:rPr>
          <w:rFonts w:hint="eastAsia" w:ascii="宋体" w:hAnsi="宋体" w:eastAsia="宋体" w:cs="宋体"/>
          <w:sz w:val="21"/>
          <w:szCs w:val="21"/>
        </w:rPr>
        <w:t xml:space="preserve">支持乡村产业振兴管理</w:t>
      </w:r>
      <w:r>
        <w:rPr>
          <w:rFonts w:hint="eastAsia" w:ascii="宋体" w:hAnsi="宋体" w:eastAsia="宋体" w:cs="宋体"/>
          <w:sz w:val="21"/>
          <w:szCs w:val="21"/>
        </w:rPr>
      </w:r>
      <w:r/>
    </w:p>
    <w:p>
      <w:pPr>
        <w:pStyle w:val="1197"/>
        <w:numPr>
          <w:ilvl w:val="0"/>
          <w:numId w:val="0"/>
        </w:numPr>
        <w:ind w:firstLine="42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4.4.1</w:t>
      </w:r>
      <w:r>
        <w:rPr>
          <w:rFonts w:hint="eastAsia" w:ascii="宋体" w:hAnsi="宋体" w:eastAsia="宋体" w:cs="宋体"/>
          <w:sz w:val="21"/>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4.5</w:t>
      </w:r>
      <w:r>
        <w:rPr>
          <w:rFonts w:hint="eastAsia" w:ascii="宋体" w:hAnsi="宋体" w:eastAsia="宋体" w:cs="宋体"/>
          <w:sz w:val="21"/>
          <w:szCs w:val="21"/>
        </w:rPr>
        <w:t xml:space="preserve">正版软件</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4.5.1</w:t>
      </w:r>
      <w:r>
        <w:rPr>
          <w:rFonts w:hint="eastAsia" w:ascii="宋体" w:hAnsi="宋体" w:eastAsia="宋体" w:cs="宋体"/>
          <w:sz w:val="21"/>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4.5.2</w:t>
      </w:r>
      <w:r>
        <w:rPr>
          <w:rFonts w:hint="eastAsia" w:ascii="宋体" w:hAnsi="宋体" w:eastAsia="宋体" w:cs="宋体"/>
          <w:sz w:val="21"/>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4.6</w:t>
      </w:r>
      <w:r>
        <w:rPr>
          <w:rFonts w:hint="eastAsia" w:ascii="宋体" w:hAnsi="宋体" w:eastAsia="宋体" w:cs="宋体"/>
          <w:sz w:val="21"/>
          <w:szCs w:val="21"/>
          <w:highlight w:val="none"/>
        </w:rPr>
        <w:t xml:space="preserve">政府采购创新产品政策</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4.6.1</w:t>
      </w:r>
      <w:r>
        <w:rPr>
          <w:rFonts w:hint="eastAsia" w:ascii="宋体" w:hAnsi="宋体" w:eastAsia="宋体" w:cs="宋体"/>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1"/>
          <w:szCs w:val="21"/>
          <w:highlight w:val="none"/>
        </w:rPr>
      </w:r>
      <w:r/>
    </w:p>
    <w:p>
      <w:pPr>
        <w:pStyle w:val="1197"/>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4.7 绿色采购政策</w:t>
      </w:r>
      <w:r>
        <w:rPr>
          <w:rFonts w:hint="eastAsia" w:ascii="宋体" w:hAnsi="宋体" w:eastAsia="宋体" w:cs="宋体"/>
          <w:sz w:val="21"/>
          <w:szCs w:val="21"/>
          <w:highlight w:val="none"/>
        </w:rPr>
      </w:r>
      <w:r/>
    </w:p>
    <w:p>
      <w:pPr>
        <w:pStyle w:val="1197"/>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4.7.1绿色数据中心政策 </w:t>
      </w:r>
      <w:r>
        <w:rPr>
          <w:rFonts w:hint="eastAsia" w:ascii="宋体" w:hAnsi="宋体" w:eastAsia="宋体" w:cs="宋体"/>
          <w:sz w:val="21"/>
          <w:szCs w:val="21"/>
          <w:highlight w:val="none"/>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依据《绿色数据中心政府采购需求标准（试行）》（财办库〔2023〕7 号）文件精神，采购</w:t>
      </w:r>
      <w:r>
        <w:rPr>
          <w:rFonts w:hint="eastAsia" w:ascii="宋体" w:hAnsi="宋体" w:eastAsia="宋体" w:cs="宋体"/>
          <w:sz w:val="2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4.7.2推广应用绿色建材</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4.7.3优先使用低挥发性有机化合物产品</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 w:val="21"/>
          <w:szCs w:val="21"/>
          <w:lang w:val="en-US" w:eastAsia="zh-CN"/>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响应费用</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sz w:val="28"/>
        </w:rPr>
      </w:pPr>
      <w:r>
        <w:rPr>
          <w:rFonts w:hint="eastAsia" w:ascii="宋体" w:hAnsi="宋体" w:eastAsia="宋体" w:cs="宋体"/>
          <w:sz w:val="21"/>
          <w:szCs w:val="21"/>
          <w:lang w:val="en-US" w:eastAsia="zh-CN"/>
        </w:rPr>
        <w:t xml:space="preserve">5.1</w:t>
      </w:r>
      <w:r>
        <w:rPr>
          <w:rFonts w:hint="eastAsia" w:ascii="宋体" w:hAnsi="宋体" w:eastAsia="宋体" w:cs="宋体"/>
          <w:sz w:val="21"/>
          <w:szCs w:val="21"/>
        </w:rPr>
        <w:t xml:space="preserve">供应商应自行承担所有与准备和参加磋商有关的费用，无论磋商的结果如何，采购人或采购代理机构在任何情况下均无承担这些费用的义务和责任。</w:t>
      </w:r>
      <w:bookmarkStart w:id="149" w:name="_1.8_计量单位"/>
      <w:r/>
      <w:bookmarkEnd w:id="149"/>
      <w:r>
        <w:rPr>
          <w:sz w:val="28"/>
        </w:rPr>
      </w:r>
      <w:r/>
    </w:p>
    <w:p>
      <w:pPr>
        <w:pStyle w:val="1199"/>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sz w:val="28"/>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Start w:id="150" w:name="_Toc127161437"/>
      <w:r/>
      <w:bookmarkStart w:id="151" w:name="_Toc164229364"/>
      <w:r/>
      <w:bookmarkStart w:id="152" w:name="_Toc150774623"/>
      <w:r/>
      <w:bookmarkStart w:id="153" w:name="_Toc265228361"/>
      <w:r/>
      <w:bookmarkStart w:id="154" w:name="_Toc151193693"/>
      <w:r/>
      <w:bookmarkStart w:id="155" w:name="_Toc305158791"/>
      <w:r/>
      <w:bookmarkStart w:id="156" w:name="_Toc151193911"/>
      <w:r/>
      <w:bookmarkStart w:id="157" w:name="_Toc164229218"/>
      <w:r/>
      <w:bookmarkStart w:id="158" w:name="_Toc149720816"/>
      <w:r/>
      <w:bookmarkStart w:id="159" w:name="_Toc226309767"/>
      <w:r/>
      <w:bookmarkStart w:id="160" w:name="_Toc151193837"/>
      <w:r/>
      <w:bookmarkStart w:id="161" w:name="_Toc164608792"/>
      <w:r/>
      <w:bookmarkStart w:id="162" w:name="_Toc226965713"/>
      <w:r/>
      <w:bookmarkStart w:id="163" w:name="_Toc127151523"/>
      <w:r/>
      <w:bookmarkStart w:id="164" w:name="_Toc226337219"/>
      <w:r/>
      <w:bookmarkStart w:id="165" w:name="_Toc520356147"/>
      <w:r/>
      <w:bookmarkStart w:id="166" w:name="_Toc150774728"/>
      <w:r/>
      <w:bookmarkStart w:id="167" w:name="_Toc151193621"/>
      <w:r/>
      <w:bookmarkStart w:id="168" w:name="_Toc127151724"/>
      <w:r/>
      <w:bookmarkStart w:id="169" w:name="_Toc150509274"/>
      <w:r/>
      <w:bookmarkStart w:id="170" w:name="_Toc150480761"/>
      <w:r/>
      <w:bookmarkStart w:id="171" w:name="_Toc151193765"/>
      <w:r/>
      <w:bookmarkStart w:id="172" w:name="_Toc226965796"/>
      <w:r/>
      <w:bookmarkStart w:id="173" w:name="_Toc264969213"/>
      <w:r/>
      <w:bookmarkStart w:id="174" w:name="_Toc151190150"/>
      <w:r/>
      <w:bookmarkStart w:id="175" w:name="_Toc142311025"/>
      <w:r/>
      <w:bookmarkStart w:id="176" w:name="_Toc164608637"/>
      <w:r/>
      <w:bookmarkStart w:id="177" w:name="_Toc305158865"/>
      <w:r/>
      <w:bookmarkStart w:id="178" w:name="_Toc164351617"/>
      <w:r/>
      <w:bookmarkStart w:id="179" w:name="_Toc195842888"/>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sz w:val="21"/>
          <w:szCs w:val="21"/>
        </w:rPr>
        <w:t xml:space="preserve">成</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6.1</w:t>
      </w:r>
      <w:r>
        <w:rPr>
          <w:rFonts w:hint="eastAsia" w:ascii="宋体" w:hAnsi="宋体" w:eastAsia="宋体" w:cs="宋体"/>
          <w:sz w:val="21"/>
          <w:szCs w:val="21"/>
        </w:rPr>
        <w:t xml:space="preserve">竞争性磋商文件包括以下部分：</w:t>
      </w:r>
      <w:r>
        <w:rPr>
          <w:rFonts w:hint="eastAsia" w:ascii="宋体" w:hAnsi="宋体" w:eastAsia="宋体" w:cs="宋体"/>
          <w:sz w:val="21"/>
          <w:szCs w:val="21"/>
        </w:rPr>
      </w:r>
      <w:r/>
    </w:p>
    <w:p>
      <w:pPr>
        <w:pStyle w:val="1197"/>
        <w:numPr>
          <w:ilvl w:val="0"/>
          <w:numId w:val="0"/>
        </w:numPr>
        <w:ind w:firstLine="420"/>
        <w:jc w:val="left"/>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第一章  </w:t>
      </w:r>
      <w:r>
        <w:rPr>
          <w:rFonts w:hint="eastAsia" w:ascii="宋体" w:hAnsi="宋体" w:eastAsia="宋体" w:cs="宋体"/>
          <w:sz w:val="21"/>
          <w:szCs w:val="21"/>
        </w:rPr>
        <w:t xml:space="preserve">采购邀请</w:t>
      </w:r>
      <w:r>
        <w:rPr>
          <w:rFonts w:hint="eastAsia" w:ascii="宋体" w:hAnsi="宋体" w:eastAsia="宋体" w:cs="宋体"/>
          <w:sz w:val="21"/>
          <w:szCs w:val="21"/>
        </w:rPr>
      </w:r>
      <w:r/>
    </w:p>
    <w:p>
      <w:pPr>
        <w:pStyle w:val="1197"/>
        <w:numPr>
          <w:ilvl w:val="0"/>
          <w:numId w:val="0"/>
        </w:numPr>
        <w:ind w:firstLine="420"/>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第二章  </w:t>
      </w:r>
      <w:r>
        <w:rPr>
          <w:rFonts w:hint="eastAsia" w:ascii="宋体" w:hAnsi="宋体" w:eastAsia="宋体" w:cs="宋体"/>
          <w:sz w:val="21"/>
          <w:szCs w:val="21"/>
        </w:rPr>
        <w:t xml:space="preserve">供应商须知</w:t>
      </w:r>
      <w:r>
        <w:rPr>
          <w:rFonts w:hint="eastAsia" w:ascii="宋体" w:hAnsi="宋体" w:eastAsia="宋体" w:cs="宋体"/>
          <w:sz w:val="21"/>
          <w:szCs w:val="21"/>
        </w:rPr>
      </w:r>
      <w:r/>
    </w:p>
    <w:p>
      <w:pPr>
        <w:pStyle w:val="1197"/>
        <w:numPr>
          <w:ilvl w:val="0"/>
          <w:numId w:val="0"/>
        </w:numPr>
        <w:ind w:firstLine="420"/>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第三章  </w:t>
      </w:r>
      <w:r>
        <w:rPr>
          <w:rFonts w:hint="eastAsia" w:ascii="宋体" w:hAnsi="宋体" w:eastAsia="宋体" w:cs="宋体"/>
          <w:sz w:val="21"/>
          <w:szCs w:val="21"/>
        </w:rPr>
        <w:t xml:space="preserve">评审程序、评审方法和评审标准</w:t>
      </w:r>
      <w:r>
        <w:rPr>
          <w:rFonts w:hint="eastAsia" w:ascii="宋体" w:hAnsi="宋体" w:eastAsia="宋体" w:cs="宋体"/>
          <w:sz w:val="21"/>
          <w:szCs w:val="21"/>
        </w:rPr>
      </w:r>
      <w:r/>
    </w:p>
    <w:p>
      <w:pPr>
        <w:pStyle w:val="1197"/>
        <w:numPr>
          <w:ilvl w:val="0"/>
          <w:numId w:val="0"/>
        </w:numPr>
        <w:ind w:firstLine="420"/>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第四章  </w:t>
      </w:r>
      <w:r>
        <w:rPr>
          <w:rFonts w:hint="eastAsia" w:ascii="宋体" w:hAnsi="宋体" w:eastAsia="宋体" w:cs="宋体"/>
          <w:sz w:val="21"/>
          <w:szCs w:val="21"/>
        </w:rPr>
        <w:t xml:space="preserve">采购需求</w:t>
      </w:r>
      <w:r>
        <w:rPr>
          <w:rFonts w:hint="eastAsia" w:ascii="宋体" w:hAnsi="宋体" w:eastAsia="宋体" w:cs="宋体"/>
          <w:sz w:val="21"/>
          <w:szCs w:val="21"/>
        </w:rPr>
      </w:r>
      <w:r/>
    </w:p>
    <w:p>
      <w:pPr>
        <w:pStyle w:val="1197"/>
        <w:numPr>
          <w:ilvl w:val="0"/>
          <w:numId w:val="0"/>
        </w:numPr>
        <w:ind w:firstLine="420"/>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第五章  </w:t>
      </w:r>
      <w:r>
        <w:rPr>
          <w:rFonts w:hint="eastAsia" w:ascii="宋体" w:hAnsi="宋体" w:eastAsia="宋体" w:cs="宋体"/>
          <w:sz w:val="21"/>
          <w:szCs w:val="21"/>
        </w:rPr>
        <w:t xml:space="preserve">合同草案条款</w:t>
      </w:r>
      <w:r>
        <w:rPr>
          <w:rFonts w:hint="eastAsia" w:ascii="宋体" w:hAnsi="宋体" w:eastAsia="宋体" w:cs="宋体"/>
          <w:sz w:val="21"/>
          <w:szCs w:val="21"/>
        </w:rPr>
      </w:r>
      <w:r/>
    </w:p>
    <w:p>
      <w:pPr>
        <w:pStyle w:val="1197"/>
        <w:numPr>
          <w:ilvl w:val="0"/>
          <w:numId w:val="0"/>
        </w:numPr>
        <w:ind w:firstLine="420"/>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第六章  </w:t>
      </w:r>
      <w:r>
        <w:rPr>
          <w:rFonts w:hint="eastAsia" w:ascii="宋体" w:hAnsi="宋体" w:eastAsia="宋体" w:cs="宋体"/>
          <w:sz w:val="21"/>
          <w:szCs w:val="21"/>
        </w:rPr>
        <w:t xml:space="preserve">响应文件格式</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6.2</w:t>
      </w:r>
      <w:r>
        <w:rPr>
          <w:rFonts w:hint="eastAsia" w:ascii="宋体" w:hAnsi="宋体" w:eastAsia="宋体" w:cs="宋体"/>
          <w:sz w:val="21"/>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7"/>
        <w:numPr>
          <w:ilvl w:val="0"/>
          <w:numId w:val="0"/>
        </w:numPr>
        <w:ind w:firstLine="210"/>
        <w:spacing w:line="360" w:lineRule="auto"/>
        <w:tabs>
          <w:tab w:val="left" w:pos="1080" w:leader="none"/>
          <w:tab w:val="left" w:pos="2014"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对竞争性磋商文件的澄清或修改</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561"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7.1</w:t>
      </w:r>
      <w:r>
        <w:rPr>
          <w:rFonts w:hint="eastAsia" w:ascii="宋体" w:hAnsi="宋体" w:eastAsia="宋体" w:cs="宋体"/>
          <w:sz w:val="21"/>
          <w:szCs w:val="21"/>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561" w:leader="none"/>
          <w:tab w:val="left" w:pos="2014" w:leader="none"/>
        </w:tabs>
        <w:rPr>
          <w:sz w:val="28"/>
        </w:rPr>
      </w:pPr>
      <w:r>
        <w:rPr>
          <w:rFonts w:hint="eastAsia" w:ascii="宋体" w:hAnsi="宋体" w:eastAsia="宋体" w:cs="宋体"/>
          <w:sz w:val="21"/>
          <w:szCs w:val="21"/>
          <w:lang w:val="en-US" w:eastAsia="zh-CN"/>
        </w:rPr>
        <w:t xml:space="preserve">7.2</w:t>
      </w:r>
      <w:r>
        <w:rPr>
          <w:rFonts w:hint="eastAsia" w:ascii="宋体" w:hAnsi="宋体" w:eastAsia="宋体" w:cs="宋体"/>
          <w:sz w:val="21"/>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80" w:name="_Toc150774731"/>
      <w:r/>
      <w:bookmarkStart w:id="181" w:name="_Toc151193624"/>
      <w:r/>
      <w:bookmarkStart w:id="182" w:name="_Toc127151526"/>
      <w:r/>
      <w:bookmarkStart w:id="183" w:name="_Toc195842891"/>
      <w:r/>
      <w:bookmarkStart w:id="184" w:name="_Toc151193768"/>
      <w:r/>
      <w:bookmarkStart w:id="185" w:name="_Toc226309770"/>
      <w:r/>
      <w:bookmarkStart w:id="186" w:name="_Toc150509277"/>
      <w:r/>
      <w:bookmarkStart w:id="187" w:name="_Toc150774626"/>
      <w:r/>
      <w:bookmarkStart w:id="188" w:name="_Toc150480764"/>
      <w:r/>
      <w:bookmarkStart w:id="189" w:name="_Toc151190153"/>
      <w:r/>
      <w:bookmarkStart w:id="190" w:name="_Toc226337222"/>
      <w:r/>
      <w:bookmarkStart w:id="191" w:name="_Toc305158868"/>
      <w:r/>
      <w:bookmarkStart w:id="192" w:name="_Toc516367020"/>
      <w:r/>
      <w:bookmarkStart w:id="193" w:name="_Toc226965716"/>
      <w:r/>
      <w:bookmarkStart w:id="194" w:name="_Toc226965799"/>
      <w:r/>
      <w:bookmarkStart w:id="195" w:name="_Toc520356150"/>
      <w:r/>
      <w:bookmarkStart w:id="196" w:name="_Toc142311028"/>
      <w:r/>
      <w:bookmarkStart w:id="197" w:name="_Toc151193696"/>
      <w:r/>
      <w:bookmarkStart w:id="198" w:name="_Toc151193840"/>
      <w:r/>
      <w:bookmarkStart w:id="199" w:name="_Toc265228364"/>
      <w:r/>
      <w:bookmarkStart w:id="200" w:name="_Toc264969216"/>
      <w:r/>
      <w:bookmarkStart w:id="201" w:name="_Toc305158794"/>
      <w:r/>
      <w:bookmarkStart w:id="202" w:name="_Toc151193914"/>
      <w:r>
        <w:rPr>
          <w:sz w:val="28"/>
        </w:rPr>
      </w:r>
      <w:r/>
    </w:p>
    <w:p>
      <w:pPr>
        <w:pStyle w:val="1199"/>
        <w:spacing w:before="0" w:line="360" w:lineRule="auto"/>
        <w:rPr>
          <w:rFonts w:ascii="Times New Roman" w:hAnsi="Times New Roman" w:eastAsia="宋体" w:cs="Times New Roman"/>
          <w:b/>
          <w:sz w:val="28"/>
        </w:rPr>
      </w:pPr>
      <w:r>
        <w:rPr>
          <w:rFonts w:ascii="Times New Roman" w:hAnsi="Times New Roman" w:eastAsia="宋体" w:cs="Times New Roman"/>
          <w:b/>
          <w:sz w:val="28"/>
        </w:rPr>
        <w:t xml:space="preserve">三   响应文件</w:t>
      </w:r>
      <w:bookmarkEnd w:id="192"/>
      <w:r>
        <w:rPr>
          <w:rFonts w:ascii="Times New Roman" w:hAnsi="Times New Roman" w:eastAsia="宋体" w:cs="Times New Roman"/>
          <w:b/>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s="Times New Roman"/>
          <w:b/>
          <w:sz w:val="28"/>
        </w:rPr>
      </w:r>
      <w:r/>
    </w:p>
    <w:p>
      <w:pPr>
        <w:pStyle w:val="1197"/>
        <w:numPr>
          <w:ilvl w:val="0"/>
          <w:numId w:val="0"/>
        </w:numPr>
        <w:ind w:firstLine="210"/>
        <w:spacing w:line="360" w:lineRule="auto"/>
        <w:tabs>
          <w:tab w:val="left" w:pos="1080" w:leader="none"/>
          <w:tab w:val="left" w:pos="2014" w:leader="none"/>
        </w:tabs>
        <w:rPr>
          <w:rFonts w:hint="eastAsia" w:ascii="宋体" w:hAnsi="宋体" w:eastAsia="宋体" w:cs="宋体"/>
          <w:sz w:val="21"/>
          <w:szCs w:val="21"/>
          <w:lang w:val="en-US" w:eastAsia="zh-CN"/>
        </w:rPr>
        <w:outlineLvl w:val="1"/>
      </w:pPr>
      <w:r/>
      <w:bookmarkStart w:id="203" w:name="_Toc265228365"/>
      <w:r/>
      <w:bookmarkStart w:id="204" w:name="_Toc150480765"/>
      <w:r/>
      <w:bookmarkStart w:id="205" w:name="_Toc516367021"/>
      <w:r/>
      <w:bookmarkStart w:id="206" w:name="_Toc149720820"/>
      <w:r/>
      <w:bookmarkStart w:id="207" w:name="_Toc151193769"/>
      <w:r/>
      <w:bookmarkStart w:id="208" w:name="_Toc151193625"/>
      <w:r/>
      <w:bookmarkStart w:id="209" w:name="_Toc151190154"/>
      <w:r/>
      <w:bookmarkStart w:id="210" w:name="_Toc142311029"/>
      <w:r/>
      <w:bookmarkStart w:id="211" w:name="_Toc164351621"/>
      <w:r/>
      <w:bookmarkStart w:id="212" w:name="_Toc151193915"/>
      <w:r/>
      <w:bookmarkStart w:id="213" w:name="_Toc127161441"/>
      <w:r/>
      <w:bookmarkStart w:id="214" w:name="_Toc164608796"/>
      <w:r/>
      <w:bookmarkStart w:id="215" w:name="_Toc150774627"/>
      <w:r/>
      <w:bookmarkStart w:id="216" w:name="_Toc520356151"/>
      <w:r/>
      <w:bookmarkStart w:id="217" w:name="_Toc164229222"/>
      <w:r/>
      <w:bookmarkStart w:id="218" w:name="_Toc226965800"/>
      <w:r/>
      <w:bookmarkStart w:id="219" w:name="_Toc226965717"/>
      <w:r/>
      <w:bookmarkStart w:id="220" w:name="_Toc164229368"/>
      <w:r/>
      <w:bookmarkStart w:id="221" w:name="_Toc150774732"/>
      <w:r/>
      <w:bookmarkStart w:id="222" w:name="_Toc150509278"/>
      <w:r/>
      <w:bookmarkStart w:id="223" w:name="_Toc164608641"/>
      <w:r/>
      <w:bookmarkStart w:id="224" w:name="_Toc305158869"/>
      <w:r/>
      <w:bookmarkStart w:id="225" w:name="_Toc226309771"/>
      <w:r/>
      <w:bookmarkStart w:id="226" w:name="_Toc195842892"/>
      <w:r/>
      <w:bookmarkStart w:id="227" w:name="_Toc127151728"/>
      <w:r/>
      <w:bookmarkStart w:id="228" w:name="_Toc127151527"/>
      <w:r/>
      <w:bookmarkStart w:id="229" w:name="_Toc151193841"/>
      <w:r/>
      <w:bookmarkStart w:id="230" w:name="_Toc305158795"/>
      <w:r/>
      <w:bookmarkStart w:id="231" w:name="_Toc226337223"/>
      <w:r/>
      <w:bookmarkStart w:id="232" w:name="_Toc264969217"/>
      <w:r/>
      <w:bookmarkStart w:id="233" w:name="_Toc151193697"/>
      <w:r>
        <w:rPr>
          <w:rFonts w:hint="eastAsia" w:ascii="宋体" w:hAnsi="宋体" w:eastAsia="宋体" w:cs="宋体"/>
          <w:sz w:val="21"/>
          <w:szCs w:val="21"/>
          <w:lang w:val="en-US" w:eastAsia="zh-CN"/>
        </w:rPr>
        <w:t xml:space="preserve">8.响应范围、竞争性磋商文件中计量单位的使用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eastAsia="宋体" w:cs="宋体"/>
          <w:sz w:val="21"/>
          <w:szCs w:val="21"/>
          <w:lang w:val="en-US" w:eastAsia="zh-CN"/>
        </w:rPr>
        <w:t xml:space="preserve">及磋商语言</w:t>
      </w:r>
      <w:r>
        <w:rPr>
          <w:rFonts w:hint="eastAsia" w:ascii="宋体" w:hAnsi="宋体" w:eastAsia="宋体" w:cs="宋体"/>
          <w:sz w:val="21"/>
          <w:szCs w:val="21"/>
          <w:lang w:val="en-US" w:eastAsia="zh-CN"/>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8.1</w:t>
      </w:r>
      <w:r>
        <w:rPr>
          <w:rFonts w:hint="eastAsia" w:ascii="宋体" w:hAnsi="宋体" w:eastAsia="宋体" w:cs="宋体"/>
          <w:sz w:val="21"/>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8.2</w:t>
      </w:r>
      <w:r>
        <w:rPr>
          <w:rFonts w:hint="eastAsia" w:ascii="宋体" w:hAnsi="宋体" w:eastAsia="宋体" w:cs="宋体"/>
          <w:sz w:val="21"/>
          <w:szCs w:val="21"/>
        </w:rPr>
        <w:t xml:space="preserve">除竞争性磋商文件有特殊要求外，本项目磋商所使用的计量单位，应采用中华人民共和国法定计量单位。</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8.3</w:t>
      </w:r>
      <w:r>
        <w:rPr>
          <w:rFonts w:hint="eastAsia" w:ascii="宋体" w:hAnsi="宋体" w:eastAsia="宋体" w:cs="宋体"/>
          <w:sz w:val="21"/>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Start w:id="234" w:name="_Toc226965718"/>
      <w:r/>
      <w:bookmarkStart w:id="235" w:name="_Toc150480766"/>
      <w:r/>
      <w:bookmarkStart w:id="236" w:name="_Toc226337224"/>
      <w:r/>
      <w:bookmarkStart w:id="237" w:name="_Toc520356152"/>
      <w:r/>
      <w:bookmarkStart w:id="238" w:name="_Toc150509279"/>
      <w:r/>
      <w:bookmarkStart w:id="239" w:name="_Toc151193842"/>
      <w:r/>
      <w:bookmarkStart w:id="240" w:name="_Toc264969218"/>
      <w:r/>
      <w:bookmarkStart w:id="241" w:name="_Toc149720821"/>
      <w:r/>
      <w:bookmarkStart w:id="242" w:name="_Toc127161442"/>
      <w:r/>
      <w:bookmarkStart w:id="243" w:name="_Toc151193916"/>
      <w:r/>
      <w:bookmarkStart w:id="244" w:name="_Toc164229369"/>
      <w:r/>
      <w:bookmarkStart w:id="245" w:name="_Toc164229223"/>
      <w:r/>
      <w:bookmarkStart w:id="246" w:name="_Toc151193626"/>
      <w:r/>
      <w:bookmarkStart w:id="247" w:name="_Ref467306676"/>
      <w:r/>
      <w:bookmarkStart w:id="248" w:name="_Toc516367022"/>
      <w:r/>
      <w:bookmarkStart w:id="249" w:name="_Toc195842893"/>
      <w:r/>
      <w:bookmarkStart w:id="250" w:name="_Ref467306195"/>
      <w:r/>
      <w:bookmarkStart w:id="251" w:name="_Toc265228366"/>
      <w:r/>
      <w:bookmarkStart w:id="252" w:name="_Toc150774733"/>
      <w:r/>
      <w:bookmarkStart w:id="253" w:name="_Toc150774628"/>
      <w:r/>
      <w:bookmarkStart w:id="254" w:name="_Toc151193770"/>
      <w:r/>
      <w:bookmarkStart w:id="255" w:name="_Toc151190155"/>
      <w:r/>
      <w:bookmarkStart w:id="256" w:name="_Toc142311030"/>
      <w:r/>
      <w:bookmarkStart w:id="257" w:name="_Toc164608642"/>
      <w:r/>
      <w:bookmarkStart w:id="258" w:name="_Toc151193698"/>
      <w:r/>
      <w:bookmarkStart w:id="259" w:name="_Toc127151528"/>
      <w:r/>
      <w:bookmarkStart w:id="260" w:name="_Toc305158870"/>
      <w:r/>
      <w:bookmarkStart w:id="261" w:name="_Toc127151729"/>
      <w:r/>
      <w:bookmarkStart w:id="262" w:name="_Toc226309772"/>
      <w:r/>
      <w:bookmarkStart w:id="263" w:name="_Toc164608797"/>
      <w:r/>
      <w:bookmarkStart w:id="264" w:name="_Toc164351622"/>
      <w:r/>
      <w:bookmarkStart w:id="265" w:name="_Toc226965801"/>
      <w:r/>
      <w:bookmarkStart w:id="266" w:name="_Toc305158796"/>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响应文件</w:t>
      </w:r>
      <w:bookmarkEnd w:id="247"/>
      <w:r/>
      <w:bookmarkEnd w:id="248"/>
      <w:r/>
      <w:bookmarkEnd w:id="250"/>
      <w:r>
        <w:rPr>
          <w:rFonts w:hint="eastAsia" w:ascii="宋体" w:hAnsi="宋体" w:eastAsia="宋体" w:cs="宋体"/>
          <w:sz w:val="21"/>
          <w:szCs w:val="21"/>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bookmarkStart w:id="267" w:name="_Ref467052588"/>
      <w:r>
        <w:rPr>
          <w:rFonts w:hint="eastAsia" w:ascii="宋体" w:hAnsi="宋体" w:eastAsia="宋体" w:cs="宋体"/>
          <w:sz w:val="21"/>
          <w:szCs w:val="21"/>
          <w:lang w:val="en-US" w:eastAsia="zh-CN"/>
        </w:rPr>
        <w:t xml:space="preserve">9.1</w:t>
      </w:r>
      <w:r>
        <w:rPr>
          <w:rFonts w:hint="eastAsia" w:ascii="宋体" w:hAnsi="宋体" w:eastAsia="宋体" w:cs="宋体"/>
          <w:sz w:val="21"/>
          <w:szCs w:val="21"/>
        </w:rPr>
        <w:t xml:space="preserve">供应商应当按照竞争性磋商文件的要求编制响应文件，</w:t>
      </w:r>
      <w:r>
        <w:rPr>
          <w:rFonts w:hint="eastAsia" w:ascii="宋体" w:hAnsi="宋体" w:eastAsia="宋体" w:cs="宋体"/>
          <w:sz w:val="21"/>
          <w:szCs w:val="21"/>
        </w:rPr>
        <w:t xml:space="preserve">并对其提交的响应文件的真实性、合法性承担法律责任</w:t>
      </w:r>
      <w:r>
        <w:rPr>
          <w:rFonts w:hint="eastAsia" w:ascii="宋体" w:hAnsi="宋体" w:eastAsia="宋体" w:cs="宋体"/>
          <w:sz w:val="21"/>
          <w:szCs w:val="21"/>
        </w:rPr>
        <w:t xml:space="preserve">。响应文件的部分格式要求，见第六章《响应文件格式》。</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9.2</w:t>
      </w:r>
      <w:r>
        <w:rPr>
          <w:rFonts w:hint="eastAsia" w:ascii="宋体" w:hAnsi="宋体" w:eastAsia="宋体" w:cs="宋体"/>
          <w:sz w:val="21"/>
          <w:szCs w:val="21"/>
        </w:rPr>
        <w:t xml:space="preserve">对于竞争性磋商文件中标记了“实质性格式”文件的，</w:t>
      </w:r>
      <w:r>
        <w:rPr>
          <w:rFonts w:hint="eastAsia" w:ascii="宋体" w:hAnsi="宋体" w:eastAsia="宋体" w:cs="宋体"/>
          <w:sz w:val="21"/>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z w:val="21"/>
          <w:szCs w:val="21"/>
        </w:rPr>
        <w:t xml:space="preserve">否则响应无效</w:t>
      </w:r>
      <w:r>
        <w:rPr>
          <w:rFonts w:hint="eastAsia" w:ascii="宋体" w:hAnsi="宋体" w:eastAsia="宋体" w:cs="宋体"/>
          <w:sz w:val="21"/>
          <w:szCs w:val="21"/>
        </w:rPr>
        <w:t xml:space="preserve">。未标记“实质性格式”的文件和竞争性磋商文件未提供格式的内容，可由供应商自行编写。</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9.3</w:t>
      </w:r>
      <w:r>
        <w:rPr>
          <w:rFonts w:hint="eastAsia" w:ascii="宋体" w:hAnsi="宋体" w:eastAsia="宋体" w:cs="宋体"/>
          <w:sz w:val="21"/>
          <w:szCs w:val="21"/>
        </w:rPr>
        <w:t xml:space="preserve">第三章《评审方法和评审标准》中涉及的证明文件。</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9.4</w:t>
      </w:r>
      <w:r>
        <w:rPr>
          <w:rFonts w:hint="eastAsia" w:ascii="宋体" w:hAnsi="宋体" w:eastAsia="宋体" w:cs="宋体"/>
          <w:sz w:val="21"/>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9.5</w:t>
      </w:r>
      <w:r>
        <w:rPr>
          <w:rFonts w:hint="eastAsia" w:ascii="宋体" w:hAnsi="宋体" w:eastAsia="宋体" w:cs="宋体"/>
          <w:sz w:val="21"/>
          <w:szCs w:val="21"/>
        </w:rPr>
        <w:t xml:space="preserve">供应商认为应附的其他材料。</w:t>
      </w:r>
      <w:bookmarkEnd w:id="267"/>
      <w:r/>
      <w:bookmarkStart w:id="268" w:name="_Toc195842895"/>
      <w:r/>
      <w:bookmarkStart w:id="269" w:name="_Toc151193844"/>
      <w:r/>
      <w:bookmarkStart w:id="270" w:name="_Toc151193918"/>
      <w:r/>
      <w:bookmarkStart w:id="271" w:name="_Toc164229371"/>
      <w:r/>
      <w:bookmarkStart w:id="272" w:name="_Toc164229225"/>
      <w:r/>
      <w:bookmarkStart w:id="273" w:name="_Toc150774630"/>
      <w:r/>
      <w:bookmarkStart w:id="274" w:name="_Toc150480768"/>
      <w:r/>
      <w:bookmarkStart w:id="275" w:name="_Toc142311032"/>
      <w:r/>
      <w:bookmarkStart w:id="276" w:name="_Toc151193772"/>
      <w:r/>
      <w:bookmarkStart w:id="277" w:name="_Toc520356155"/>
      <w:r/>
      <w:bookmarkStart w:id="278" w:name="_Toc127151731"/>
      <w:r/>
      <w:bookmarkStart w:id="279" w:name="_Toc127151530"/>
      <w:r/>
      <w:bookmarkStart w:id="280" w:name="_Toc164351624"/>
      <w:r/>
      <w:bookmarkStart w:id="281" w:name="_Toc164608799"/>
      <w:r/>
      <w:bookmarkStart w:id="282" w:name="_Toc149720823"/>
      <w:r/>
      <w:bookmarkStart w:id="283" w:name="_Toc151193628"/>
      <w:r/>
      <w:bookmarkStart w:id="284" w:name="_Toc151193700"/>
      <w:r/>
      <w:bookmarkStart w:id="285" w:name="_Toc164608644"/>
      <w:r/>
      <w:bookmarkStart w:id="286" w:name="_Toc127161444"/>
      <w:r/>
      <w:bookmarkStart w:id="287" w:name="_Toc150774735"/>
      <w:r/>
      <w:bookmarkStart w:id="288" w:name="_Toc151190157"/>
      <w:r/>
      <w:bookmarkStart w:id="289" w:name="_Toc150509281"/>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lang w:val="en-US" w:eastAsia="zh-CN"/>
        </w:rPr>
        <w:outlineLvl w:val="1"/>
      </w:pPr>
      <w:r>
        <w:rPr>
          <w:rFonts w:hint="eastAsia" w:ascii="宋体" w:hAnsi="宋体" w:eastAsia="宋体" w:cs="宋体"/>
          <w:sz w:val="21"/>
          <w:szCs w:val="21"/>
          <w:lang w:val="en-US" w:eastAsia="zh-CN"/>
        </w:rPr>
        <w:t xml:space="preserve">10.报价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eastAsia="宋体" w:cs="宋体"/>
          <w:sz w:val="21"/>
          <w:szCs w:val="21"/>
          <w:lang w:val="en-US" w:eastAsia="zh-CN"/>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10.1</w:t>
      </w:r>
      <w:r>
        <w:rPr>
          <w:rFonts w:hint="eastAsia" w:ascii="宋体" w:hAnsi="宋体" w:eastAsia="宋体" w:cs="宋体"/>
          <w:sz w:val="21"/>
          <w:szCs w:val="21"/>
        </w:rPr>
        <w:t xml:space="preserve">所有响应均以人民币报价。</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10.2</w:t>
      </w:r>
      <w:r>
        <w:rPr>
          <w:rFonts w:hint="eastAsia" w:ascii="宋体" w:hAnsi="宋体" w:eastAsia="宋体" w:cs="宋体"/>
          <w:sz w:val="21"/>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10.2.1</w:t>
      </w:r>
      <w:r>
        <w:rPr>
          <w:rFonts w:hint="eastAsia" w:ascii="宋体" w:hAnsi="宋体" w:eastAsia="宋体" w:cs="宋体"/>
          <w:sz w:val="21"/>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10.2.2</w:t>
      </w:r>
      <w:r>
        <w:rPr>
          <w:rFonts w:hint="eastAsia" w:ascii="宋体" w:hAnsi="宋体" w:eastAsia="宋体" w:cs="宋体"/>
          <w:sz w:val="21"/>
          <w:szCs w:val="21"/>
          <w:highlight w:val="none"/>
        </w:rPr>
        <w:t xml:space="preserve">按照竞争性磋商文件要求完成本项目的全部相关工程或服务费用。</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10.3</w:t>
      </w:r>
      <w:r>
        <w:rPr>
          <w:rFonts w:hint="eastAsia" w:ascii="宋体" w:hAnsi="宋体" w:eastAsia="宋体" w:cs="宋体"/>
          <w:sz w:val="21"/>
          <w:szCs w:val="21"/>
          <w:highlight w:val="none"/>
        </w:rPr>
        <w:t xml:space="preserve">采购人不得向供应</w:t>
      </w:r>
      <w:r>
        <w:rPr>
          <w:rFonts w:hint="eastAsia" w:ascii="宋体" w:hAnsi="宋体" w:eastAsia="宋体" w:cs="宋体"/>
          <w:color w:val="000000"/>
          <w:sz w:val="21"/>
          <w:szCs w:val="21"/>
          <w:highlight w:val="none"/>
        </w:rPr>
        <w:t xml:space="preserve">商索要或者接受其给予的赠品、回扣或者与采购无关的其他商品、服务。</w:t>
      </w:r>
      <w:r>
        <w:rPr>
          <w:rFonts w:hint="eastAsia" w:ascii="宋体" w:hAnsi="宋体" w:eastAsia="宋体" w:cs="宋体"/>
          <w:color w:val="000000"/>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10.4</w:t>
      </w:r>
      <w:r>
        <w:rPr>
          <w:rFonts w:hint="eastAsia" w:ascii="宋体" w:hAnsi="宋体" w:eastAsia="宋体" w:cs="宋体"/>
          <w:color w:val="000000"/>
          <w:sz w:val="21"/>
          <w:szCs w:val="21"/>
          <w:highlight w:val="none"/>
        </w:rPr>
        <w:t xml:space="preserve">供应商不能提供任何有选择性或可调整的最终报价（</w:t>
      </w:r>
      <w:r>
        <w:rPr>
          <w:rFonts w:hint="eastAsia" w:ascii="宋体" w:hAnsi="宋体" w:eastAsia="宋体" w:cs="宋体"/>
          <w:color w:val="000000"/>
          <w:sz w:val="21"/>
          <w:szCs w:val="21"/>
          <w:highlight w:val="none"/>
        </w:rPr>
        <w:t xml:space="preserve">竞争性磋商文件</w:t>
      </w:r>
      <w:r>
        <w:rPr>
          <w:rFonts w:hint="eastAsia" w:ascii="宋体" w:hAnsi="宋体" w:eastAsia="宋体" w:cs="宋体"/>
          <w:color w:val="000000"/>
          <w:sz w:val="21"/>
          <w:szCs w:val="21"/>
          <w:highlight w:val="none"/>
        </w:rPr>
        <w:t xml:space="preserve">另有规定的除外），否则其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97"/>
        <w:numPr>
          <w:ilvl w:val="0"/>
          <w:numId w:val="0"/>
        </w:numPr>
        <w:ind w:firstLine="420"/>
        <w:spacing w:line="360" w:lineRule="auto"/>
        <w:tabs>
          <w:tab w:val="left" w:pos="1080" w:leader="none"/>
          <w:tab w:val="left" w:pos="2014" w:leader="none"/>
        </w:tabs>
        <w:rPr>
          <w:rFonts w:ascii="宋体" w:hAnsi="宋体" w:eastAsia="宋体" w:cs="宋体"/>
          <w:b/>
          <w:b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bidi="ar-SA"/>
        </w:rPr>
        <w:t xml:space="preserve">10.5本项</w:t>
      </w:r>
      <w:r>
        <w:rPr>
          <w:rFonts w:hint="eastAsia" w:ascii="宋体" w:hAnsi="宋体" w:eastAsia="宋体" w:cs="宋体"/>
          <w:color w:val="000000"/>
          <w:sz w:val="21"/>
          <w:szCs w:val="21"/>
          <w:highlight w:val="none"/>
          <w:lang w:val="en-US" w:eastAsia="zh-CN"/>
        </w:rPr>
        <w:t xml:space="preserve">目采用</w:t>
      </w:r>
      <w:r>
        <w:rPr>
          <w:rFonts w:hint="eastAsia" w:ascii="宋体" w:hAnsi="宋体" w:cs="宋体"/>
          <w:b/>
          <w:bCs/>
          <w:color w:val="000000"/>
          <w:szCs w:val="21"/>
          <w:highlight w:val="none"/>
          <w:u w:val="single"/>
        </w:rPr>
        <w:t xml:space="preserve">固定</w:t>
      </w:r>
      <w:r>
        <w:rPr>
          <w:rFonts w:hint="eastAsia" w:ascii="宋体" w:hAnsi="宋体" w:cs="宋体"/>
          <w:b/>
          <w:bCs/>
          <w:color w:val="000000"/>
          <w:szCs w:val="21"/>
          <w:highlight w:val="none"/>
          <w:u w:val="single"/>
          <w:lang w:val="en-US" w:eastAsia="zh-CN"/>
        </w:rPr>
        <w:t xml:space="preserve">总价</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b/>
          <w:bCs/>
          <w:color w:val="000000"/>
          <w:sz w:val="21"/>
          <w:szCs w:val="21"/>
          <w:highlight w:val="none"/>
          <w:u w:val="single"/>
          <w:lang w:val="en-US" w:eastAsia="zh-CN"/>
        </w:rPr>
        <w:t xml:space="preserve">供应商的投标报价不得高于最高限价，否则作为无效投标处理。</w:t>
      </w:r>
      <w:r>
        <w:rPr>
          <w:rFonts w:ascii="宋体" w:hAnsi="宋体" w:eastAsia="宋体" w:cs="宋体"/>
          <w:b/>
          <w:bCs/>
          <w:color w:val="000000"/>
          <w:sz w:val="21"/>
          <w:szCs w:val="21"/>
          <w:highlight w:val="none"/>
          <w:u w:val="single"/>
          <w:lang w:val="en-US" w:eastAsia="zh-CN"/>
        </w:rPr>
      </w:r>
      <w:r/>
    </w:p>
    <w:p>
      <w:pPr>
        <w:pStyle w:val="1197"/>
        <w:numPr>
          <w:ilvl w:val="0"/>
          <w:numId w:val="0"/>
        </w:numPr>
        <w:ind w:firstLine="21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11.磋商保证金及履约保证金</w:t>
      </w:r>
      <w:r>
        <w:rPr>
          <w:rFonts w:hint="eastAsia" w:ascii="宋体" w:hAnsi="宋体" w:eastAsia="宋体" w:cs="宋体"/>
          <w:color w:val="000000"/>
          <w:sz w:val="21"/>
          <w:szCs w:val="21"/>
          <w:highlight w:val="none"/>
          <w:lang w:val="en-US" w:eastAsia="zh-CN"/>
        </w:rPr>
      </w:r>
      <w:r/>
    </w:p>
    <w:p>
      <w:pPr>
        <w:pStyle w:val="1197"/>
        <w:ind w:firstLine="525"/>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11.1</w:t>
      </w:r>
      <w:r>
        <w:rPr>
          <w:rFonts w:hint="eastAsia" w:ascii="宋体" w:hAnsi="宋体" w:eastAsia="宋体" w:cs="宋体"/>
          <w:color w:val="000000"/>
          <w:sz w:val="21"/>
          <w:szCs w:val="21"/>
          <w:highlight w:val="none"/>
        </w:rPr>
        <w:t xml:space="preserve">根据江苏省和常州市的相关文件规定，免收保证金。</w:t>
      </w:r>
      <w:r>
        <w:rPr>
          <w:rFonts w:hint="eastAsia" w:ascii="宋体" w:hAnsi="宋体" w:eastAsia="宋体" w:cs="宋体"/>
          <w:color w:val="000000"/>
          <w:sz w:val="21"/>
          <w:szCs w:val="21"/>
          <w:highlight w:val="none"/>
        </w:rPr>
      </w:r>
      <w:r/>
    </w:p>
    <w:p>
      <w:pPr>
        <w:pStyle w:val="1197"/>
        <w:ind w:firstLine="527"/>
        <w:spacing w:line="360" w:lineRule="auto"/>
        <w:tabs>
          <w:tab w:val="left" w:pos="360" w:leader="none"/>
        </w:tabs>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11.2 成交供应商须在合同签订之日起5日内向采购人提供金额为</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rPr>
        <w:t xml:space="preserve">的履约保证金或保函。 </w:t>
      </w:r>
      <w:r>
        <w:rPr>
          <w:rFonts w:hint="eastAsia" w:ascii="宋体" w:hAnsi="宋体" w:eastAsia="宋体" w:cs="宋体"/>
          <w:b/>
          <w:bCs/>
          <w:color w:val="000000"/>
          <w:sz w:val="21"/>
          <w:szCs w:val="21"/>
          <w:highlight w:val="none"/>
        </w:rPr>
      </w:r>
      <w:r/>
    </w:p>
    <w:p>
      <w:pPr>
        <w:pStyle w:val="1197"/>
        <w:ind w:firstLine="525"/>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11.3 履约保证金将项目结束后</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日内无息退返成交供应商。</w:t>
      </w:r>
      <w:r>
        <w:rPr>
          <w:rFonts w:hint="eastAsia" w:ascii="宋体" w:hAnsi="宋体" w:eastAsia="宋体" w:cs="宋体"/>
          <w:color w:val="000000"/>
          <w:sz w:val="21"/>
          <w:szCs w:val="21"/>
          <w:highlight w:val="none"/>
        </w:rPr>
      </w:r>
      <w:r/>
    </w:p>
    <w:p>
      <w:pPr>
        <w:pStyle w:val="1197"/>
        <w:numPr>
          <w:ilvl w:val="0"/>
          <w:numId w:val="0"/>
        </w:numPr>
        <w:ind w:firstLine="21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12.响应有效期</w:t>
      </w:r>
      <w:r>
        <w:rPr>
          <w:rFonts w:hint="eastAsia" w:ascii="宋体" w:hAnsi="宋体" w:eastAsia="宋体" w:cs="宋体"/>
          <w:color w:val="000000"/>
          <w:sz w:val="21"/>
          <w:szCs w:val="21"/>
          <w:highlight w:val="none"/>
          <w:lang w:val="en-US" w:eastAsia="zh-CN"/>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12.1</w:t>
      </w:r>
      <w:r>
        <w:rPr>
          <w:rFonts w:hint="eastAsia" w:ascii="宋体" w:hAnsi="宋体" w:eastAsia="宋体" w:cs="宋体"/>
          <w:sz w:val="21"/>
          <w:szCs w:val="21"/>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lang w:val="en-US" w:eastAsia="zh-CN"/>
        </w:rPr>
        <w:outlineLvl w:val="1"/>
      </w:pPr>
      <w:r/>
      <w:bookmarkStart w:id="290" w:name="_Toc226309777"/>
      <w:r/>
      <w:bookmarkStart w:id="291" w:name="_Toc265228371"/>
      <w:r/>
      <w:bookmarkStart w:id="292" w:name="_Toc164608647"/>
      <w:r/>
      <w:bookmarkStart w:id="293" w:name="_Toc164351627"/>
      <w:r/>
      <w:bookmarkStart w:id="294" w:name="_Toc264969223"/>
      <w:r/>
      <w:bookmarkStart w:id="295" w:name="_Toc305158875"/>
      <w:r/>
      <w:bookmarkStart w:id="296" w:name="_Toc127151734"/>
      <w:r/>
      <w:bookmarkStart w:id="297" w:name="_Toc151190160"/>
      <w:r/>
      <w:bookmarkStart w:id="298" w:name="_Toc149720826"/>
      <w:r/>
      <w:bookmarkStart w:id="299" w:name="_Toc164229228"/>
      <w:r/>
      <w:bookmarkStart w:id="300" w:name="_Toc150509284"/>
      <w:r/>
      <w:bookmarkStart w:id="301" w:name="_Toc151193921"/>
      <w:r/>
      <w:bookmarkStart w:id="302" w:name="_Toc520356158"/>
      <w:r/>
      <w:bookmarkStart w:id="303" w:name="_Toc151193703"/>
      <w:r/>
      <w:bookmarkStart w:id="304" w:name="_Toc195842898"/>
      <w:r/>
      <w:bookmarkStart w:id="305" w:name="_Toc226337229"/>
      <w:r/>
      <w:bookmarkStart w:id="306" w:name="_Toc150774738"/>
      <w:r/>
      <w:bookmarkStart w:id="307" w:name="_Toc151193847"/>
      <w:r/>
      <w:bookmarkStart w:id="308" w:name="_Toc127161447"/>
      <w:r/>
      <w:bookmarkStart w:id="309" w:name="_Toc164229374"/>
      <w:r/>
      <w:bookmarkStart w:id="310" w:name="_Toc164608802"/>
      <w:r/>
      <w:bookmarkStart w:id="311" w:name="_Toc226965723"/>
      <w:r/>
      <w:bookmarkStart w:id="312" w:name="_Toc142311035"/>
      <w:r/>
      <w:bookmarkStart w:id="313" w:name="_Toc127151533"/>
      <w:r/>
      <w:bookmarkStart w:id="314" w:name="_Toc305158801"/>
      <w:r/>
      <w:bookmarkStart w:id="315" w:name="_Toc151193775"/>
      <w:r/>
      <w:bookmarkStart w:id="316" w:name="_Toc226965806"/>
      <w:r/>
      <w:bookmarkStart w:id="317" w:name="_Toc150480771"/>
      <w:r/>
      <w:bookmarkStart w:id="318" w:name="_Toc151193631"/>
      <w:r/>
      <w:bookmarkStart w:id="319" w:name="_Toc150774633"/>
      <w:r>
        <w:rPr>
          <w:rFonts w:hint="eastAsia" w:ascii="宋体" w:hAnsi="宋体" w:eastAsia="宋体" w:cs="宋体"/>
          <w:sz w:val="21"/>
          <w:szCs w:val="21"/>
          <w:lang w:val="en-US" w:eastAsia="zh-CN"/>
        </w:rPr>
        <w:t xml:space="preserve">13.响应文件的制作、签署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eastAsia="宋体" w:cs="宋体"/>
          <w:sz w:val="21"/>
          <w:szCs w:val="21"/>
          <w:lang w:val="en-US" w:eastAsia="zh-CN"/>
        </w:rPr>
        <w:t xml:space="preserve">、盖章</w:t>
      </w:r>
      <w:r>
        <w:rPr>
          <w:rFonts w:hint="eastAsia" w:ascii="宋体" w:hAnsi="宋体" w:eastAsia="宋体" w:cs="宋体"/>
          <w:sz w:val="21"/>
          <w:szCs w:val="21"/>
          <w:lang w:val="en-US" w:eastAsia="zh-CN"/>
        </w:rPr>
      </w:r>
      <w:r/>
    </w:p>
    <w:p>
      <w:pPr>
        <w:pStyle w:val="1197"/>
        <w:numPr>
          <w:ilvl w:val="0"/>
          <w:numId w:val="0"/>
        </w:numPr>
        <w:ind w:firstLine="420"/>
        <w:spacing w:line="360" w:lineRule="auto"/>
        <w:tabs>
          <w:tab w:val="left" w:pos="1080" w:leader="none"/>
        </w:tabs>
        <w:rPr>
          <w:rFonts w:hint="eastAsia" w:ascii="宋体" w:hAnsi="宋体" w:eastAsia="宋体" w:cs="宋体"/>
          <w:sz w:val="21"/>
          <w:szCs w:val="21"/>
          <w:highlight w:val="none"/>
          <w:lang w:val="en-US" w:eastAsia="zh-CN"/>
        </w:rPr>
      </w:pPr>
      <w:r/>
      <w:bookmarkStart w:id="320" w:name="_Toc265228372"/>
      <w:r/>
      <w:bookmarkStart w:id="321" w:name="_Toc151193922"/>
      <w:r/>
      <w:bookmarkStart w:id="322" w:name="_Toc264969224"/>
      <w:r/>
      <w:bookmarkStart w:id="323" w:name="_Toc305158876"/>
      <w:r/>
      <w:bookmarkStart w:id="324" w:name="_Toc151193704"/>
      <w:r/>
      <w:bookmarkStart w:id="325" w:name="_Toc520356159"/>
      <w:r/>
      <w:bookmarkStart w:id="326" w:name="_Toc151190161"/>
      <w:r/>
      <w:bookmarkStart w:id="327" w:name="_Toc195842899"/>
      <w:r/>
      <w:bookmarkStart w:id="328" w:name="_Toc150509285"/>
      <w:r/>
      <w:bookmarkStart w:id="329" w:name="_Toc226965807"/>
      <w:r/>
      <w:bookmarkStart w:id="330" w:name="_Toc150774634"/>
      <w:r/>
      <w:bookmarkStart w:id="331" w:name="_Toc151193776"/>
      <w:r/>
      <w:bookmarkStart w:id="332" w:name="_Toc226965724"/>
      <w:r/>
      <w:bookmarkStart w:id="333" w:name="_Toc151193848"/>
      <w:r/>
      <w:bookmarkStart w:id="334" w:name="_Toc150480772"/>
      <w:r/>
      <w:bookmarkStart w:id="335" w:name="_Toc127151534"/>
      <w:r/>
      <w:bookmarkStart w:id="336" w:name="_Toc305158802"/>
      <w:r/>
      <w:bookmarkStart w:id="337" w:name="_Toc142311036"/>
      <w:r/>
      <w:bookmarkStart w:id="338" w:name="_Toc226309778"/>
      <w:r/>
      <w:bookmarkStart w:id="339" w:name="_Toc150774739"/>
      <w:r/>
      <w:bookmarkStart w:id="340" w:name="_Toc226337230"/>
      <w:r/>
      <w:bookmarkStart w:id="341" w:name="_Toc151193632"/>
      <w:r>
        <w:rPr>
          <w:rFonts w:hint="eastAsia" w:ascii="宋体" w:hAnsi="宋体" w:eastAsia="宋体" w:cs="宋体"/>
          <w:sz w:val="21"/>
          <w:szCs w:val="21"/>
          <w:highlight w:val="none"/>
          <w:lang w:val="en-US" w:eastAsia="zh-CN"/>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sz w:val="21"/>
          <w:szCs w:val="21"/>
          <w:highlight w:val="none"/>
          <w:lang w:val="en-US" w:eastAsia="zh-CN"/>
        </w:rPr>
      </w:r>
      <w:r/>
    </w:p>
    <w:p>
      <w:pPr>
        <w:pStyle w:val="1197"/>
        <w:numPr>
          <w:ilvl w:val="0"/>
          <w:numId w:val="0"/>
        </w:numPr>
        <w:ind w:firstLine="420"/>
        <w:spacing w:line="360" w:lineRule="auto"/>
        <w:tabs>
          <w:tab w:val="left" w:pos="108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13.2竞争性磋商文件要求盖章的内容，一般通过投标文件编制工具加盖电子签章。</w:t>
      </w:r>
      <w:r>
        <w:rPr>
          <w:rFonts w:hint="eastAsia" w:ascii="宋体" w:hAnsi="宋体" w:eastAsia="宋体" w:cs="宋体"/>
          <w:sz w:val="21"/>
          <w:szCs w:val="21"/>
          <w:highlight w:val="none"/>
          <w:lang w:val="en-US" w:eastAsia="zh-CN"/>
        </w:rPr>
      </w:r>
      <w:r/>
    </w:p>
    <w:p>
      <w:pPr>
        <w:pStyle w:val="1199"/>
        <w:jc w:val="center"/>
        <w:spacing w:before="0" w:line="360" w:lineRule="auto"/>
        <w:rPr>
          <w:rFonts w:ascii="Times New Roman" w:hAnsi="Times New Roman" w:eastAsia="宋体" w:cs="Times New Roman"/>
          <w:b/>
          <w:sz w:val="28"/>
        </w:rPr>
      </w:pPr>
      <w:r>
        <w:rPr>
          <w:rFonts w:ascii="Times New Roman" w:hAnsi="Times New Roman" w:eastAsia="宋体" w:cs="Times New Roman"/>
          <w:b/>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cs="Times New Roman"/>
          <w:b/>
          <w:sz w:val="28"/>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highlight w:val="none"/>
        </w:rPr>
        <w:outlineLvl w:val="1"/>
      </w:pPr>
      <w:r/>
      <w:bookmarkStart w:id="342" w:name="_Toc195842900"/>
      <w:r/>
      <w:bookmarkStart w:id="343" w:name="_Toc164608649"/>
      <w:r/>
      <w:bookmarkStart w:id="344" w:name="_Toc127161449"/>
      <w:r/>
      <w:bookmarkStart w:id="345" w:name="_Toc164351629"/>
      <w:r/>
      <w:bookmarkStart w:id="346" w:name="_Toc151193849"/>
      <w:r/>
      <w:bookmarkStart w:id="347" w:name="_Toc305158877"/>
      <w:r/>
      <w:bookmarkStart w:id="348" w:name="_Toc226337231"/>
      <w:r/>
      <w:bookmarkStart w:id="349" w:name="_Toc226309779"/>
      <w:r/>
      <w:bookmarkStart w:id="350" w:name="_Toc151193777"/>
      <w:r/>
      <w:bookmarkStart w:id="351" w:name="_Toc164229230"/>
      <w:r/>
      <w:bookmarkStart w:id="352" w:name="_Toc149720828"/>
      <w:r/>
      <w:bookmarkStart w:id="353" w:name="_Toc305158803"/>
      <w:r/>
      <w:bookmarkStart w:id="354" w:name="_Toc151193923"/>
      <w:r/>
      <w:bookmarkStart w:id="355" w:name="_Toc226965725"/>
      <w:r/>
      <w:bookmarkStart w:id="356" w:name="_Toc264969225"/>
      <w:r/>
      <w:bookmarkStart w:id="357" w:name="_Toc150774635"/>
      <w:r/>
      <w:bookmarkStart w:id="358" w:name="_Toc127151736"/>
      <w:r/>
      <w:bookmarkStart w:id="359" w:name="_Toc151193633"/>
      <w:r/>
      <w:bookmarkStart w:id="360" w:name="_Toc151190162"/>
      <w:r/>
      <w:bookmarkStart w:id="361" w:name="_Toc150480773"/>
      <w:r/>
      <w:bookmarkStart w:id="362" w:name="_Toc142311037"/>
      <w:r/>
      <w:bookmarkStart w:id="363" w:name="_Toc150509286"/>
      <w:r/>
      <w:bookmarkStart w:id="364" w:name="_Toc151193705"/>
      <w:r/>
      <w:bookmarkStart w:id="365" w:name="_Toc127151535"/>
      <w:r/>
      <w:bookmarkStart w:id="366" w:name="_Toc265228373"/>
      <w:r/>
      <w:bookmarkStart w:id="367" w:name="_Toc150774740"/>
      <w:r/>
      <w:bookmarkStart w:id="368" w:name="_Toc226965808"/>
      <w:r/>
      <w:bookmarkStart w:id="369" w:name="_Toc164608804"/>
      <w:r/>
      <w:bookmarkStart w:id="370" w:name="_Toc520356160"/>
      <w:r/>
      <w:bookmarkStart w:id="371" w:name="_Toc164229376"/>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eastAsia="宋体" w:cs="宋体"/>
          <w:sz w:val="21"/>
          <w:szCs w:val="21"/>
          <w:highlight w:val="none"/>
        </w:rPr>
        <w:t xml:space="preserve">提交</w:t>
      </w:r>
      <w:bookmarkStart w:id="372" w:name="_Toc150774636"/>
      <w:r/>
      <w:bookmarkStart w:id="373" w:name="_Toc226337232"/>
      <w:r/>
      <w:bookmarkStart w:id="374" w:name="_Toc151193924"/>
      <w:r/>
      <w:bookmarkStart w:id="375" w:name="_Toc164608650"/>
      <w:r/>
      <w:bookmarkStart w:id="376" w:name="_Toc150480774"/>
      <w:r/>
      <w:bookmarkStart w:id="377" w:name="_Toc265228374"/>
      <w:r/>
      <w:bookmarkStart w:id="378" w:name="_Toc164608805"/>
      <w:r/>
      <w:bookmarkStart w:id="379" w:name="_Toc127161450"/>
      <w:r/>
      <w:bookmarkStart w:id="380" w:name="_Toc164229377"/>
      <w:r/>
      <w:bookmarkStart w:id="381" w:name="_Toc305158878"/>
      <w:r/>
      <w:bookmarkStart w:id="382" w:name="_Toc164229231"/>
      <w:r/>
      <w:bookmarkStart w:id="383" w:name="_Toc226965809"/>
      <w:r/>
      <w:bookmarkStart w:id="384" w:name="_Toc150774741"/>
      <w:r/>
      <w:bookmarkStart w:id="385" w:name="_Toc127151536"/>
      <w:r/>
      <w:bookmarkStart w:id="386" w:name="_Toc520356161"/>
      <w:r/>
      <w:bookmarkStart w:id="387" w:name="_Toc151193778"/>
      <w:r/>
      <w:bookmarkStart w:id="388" w:name="_Toc226965726"/>
      <w:r/>
      <w:bookmarkStart w:id="389" w:name="_Toc151190163"/>
      <w:r/>
      <w:bookmarkStart w:id="390" w:name="_Toc164351630"/>
      <w:r/>
      <w:bookmarkStart w:id="391" w:name="_Toc127151737"/>
      <w:r/>
      <w:bookmarkStart w:id="392" w:name="_Toc264969226"/>
      <w:r/>
      <w:bookmarkStart w:id="393" w:name="_Toc305158804"/>
      <w:r/>
      <w:bookmarkStart w:id="394" w:name="_Toc226309780"/>
      <w:r/>
      <w:bookmarkStart w:id="395" w:name="_Toc151193706"/>
      <w:r/>
      <w:bookmarkStart w:id="396" w:name="_Toc195842901"/>
      <w:r/>
      <w:bookmarkStart w:id="397" w:name="_Toc142311038"/>
      <w:r/>
      <w:bookmarkStart w:id="398" w:name="_Toc151193634"/>
      <w:r/>
      <w:bookmarkStart w:id="399" w:name="_Toc151193850"/>
      <w:r/>
      <w:bookmarkStart w:id="400" w:name="_Toc150509287"/>
      <w:r/>
      <w:bookmarkStart w:id="401" w:name="_Toc149720829"/>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14.1本项目使用“苏采云”政府采购一体化平台。供应商根据竞争性磋商文件及“苏采云”政府采购一体化平台供应商操作手册要求编制、生成并提交电子响应文件。</w:t>
      </w:r>
      <w:r>
        <w:rPr>
          <w:rFonts w:hint="eastAsia" w:ascii="宋体" w:hAnsi="宋体" w:eastAsia="宋体" w:cs="宋体"/>
          <w:sz w:val="21"/>
          <w:szCs w:val="21"/>
          <w:highlight w:val="none"/>
          <w:lang w:val="en-US" w:eastAsia="zh-CN"/>
        </w:rPr>
      </w:r>
      <w:r/>
    </w:p>
    <w:p>
      <w:pPr>
        <w:pStyle w:val="1197"/>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14.2采购人及采购代理机构拒绝接受通过电子交易平台以外任何形式提交的响应文件，磋商保证金除外。</w:t>
      </w:r>
      <w:r>
        <w:rPr>
          <w:rFonts w:hint="eastAsia" w:ascii="宋体" w:hAnsi="宋体" w:eastAsia="宋体" w:cs="宋体"/>
          <w:sz w:val="21"/>
          <w:szCs w:val="21"/>
          <w:highlight w:val="none"/>
          <w:lang w:val="en-US" w:eastAsia="zh-CN"/>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eastAsia="宋体" w:cs="宋体"/>
          <w:sz w:val="21"/>
          <w:szCs w:val="21"/>
          <w:highlight w:val="none"/>
        </w:rPr>
        <w:t xml:space="preserve">时间</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15.1供应商应在竞争性磋商文件要求提交响应文件截止时间前，将电子响应文件提交至“苏采云”政府采购一体化平台。</w:t>
      </w:r>
      <w:r>
        <w:rPr>
          <w:rFonts w:hint="eastAsia" w:ascii="宋体" w:hAnsi="宋体" w:eastAsia="宋体" w:cs="宋体"/>
          <w:sz w:val="21"/>
          <w:szCs w:val="21"/>
          <w:highlight w:val="none"/>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highlight w:val="none"/>
        </w:rPr>
        <w:outlineLvl w:val="1"/>
      </w:pPr>
      <w:r/>
      <w:bookmarkStart w:id="402" w:name="_Toc151190164"/>
      <w:r/>
      <w:bookmarkStart w:id="403" w:name="_Toc164351631"/>
      <w:r/>
      <w:bookmarkStart w:id="404" w:name="_Toc151193635"/>
      <w:r/>
      <w:bookmarkStart w:id="405" w:name="_Toc150774742"/>
      <w:r/>
      <w:bookmarkStart w:id="406" w:name="_Toc226309781"/>
      <w:r/>
      <w:bookmarkStart w:id="407" w:name="_Toc164608651"/>
      <w:r/>
      <w:bookmarkStart w:id="408" w:name="_Toc164229378"/>
      <w:r/>
      <w:bookmarkStart w:id="409" w:name="_Toc151193925"/>
      <w:r/>
      <w:bookmarkStart w:id="410" w:name="_Toc151193779"/>
      <w:r/>
      <w:bookmarkStart w:id="411" w:name="_Toc127151738"/>
      <w:r/>
      <w:bookmarkStart w:id="412" w:name="_Toc264969227"/>
      <w:r/>
      <w:bookmarkStart w:id="413" w:name="_Toc164608806"/>
      <w:r/>
      <w:bookmarkStart w:id="414" w:name="_Toc151193707"/>
      <w:r/>
      <w:bookmarkStart w:id="415" w:name="_Toc305158879"/>
      <w:r/>
      <w:bookmarkStart w:id="416" w:name="_Toc226337233"/>
      <w:r/>
      <w:bookmarkStart w:id="417" w:name="_Toc520356162"/>
      <w:r/>
      <w:bookmarkStart w:id="418" w:name="_Toc265228375"/>
      <w:r/>
      <w:bookmarkStart w:id="419" w:name="_Toc150774637"/>
      <w:r/>
      <w:bookmarkStart w:id="420" w:name="_Toc127151537"/>
      <w:r/>
      <w:bookmarkStart w:id="421" w:name="_Toc127161451"/>
      <w:r/>
      <w:bookmarkStart w:id="422" w:name="_Toc195842902"/>
      <w:r/>
      <w:bookmarkStart w:id="423" w:name="_Toc151193851"/>
      <w:r/>
      <w:bookmarkStart w:id="424" w:name="_Toc150480775"/>
      <w:r/>
      <w:bookmarkStart w:id="425" w:name="_Toc226965727"/>
      <w:r/>
      <w:bookmarkStart w:id="426" w:name="_Toc164229232"/>
      <w:r/>
      <w:bookmarkStart w:id="427" w:name="_Toc226965810"/>
      <w:r/>
      <w:bookmarkStart w:id="428" w:name="_Toc150509288"/>
      <w:r/>
      <w:bookmarkStart w:id="429" w:name="_Toc305158805"/>
      <w:r/>
      <w:bookmarkStart w:id="430" w:name="_Toc149720830"/>
      <w:r/>
      <w:bookmarkStart w:id="431" w:name="_Toc142311039"/>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hint="eastAsia" w:ascii="宋体" w:hAnsi="宋体" w:eastAsia="宋体" w:cs="宋体"/>
          <w:sz w:val="21"/>
          <w:szCs w:val="21"/>
          <w:highlight w:val="none"/>
          <w:lang w:val="en-US" w:eastAsia="zh-CN"/>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16.2供应商对响应文件的补充、修改的内容应当按照竞争性磋商文件要求签署、盖章，作为响应文件的组成部分。补充、修改的内容与响应文件不一致的，以补充、修改的内容为准。</w:t>
      </w:r>
      <w:r>
        <w:rPr>
          <w:rFonts w:hint="eastAsia" w:ascii="宋体" w:hAnsi="宋体" w:eastAsia="宋体" w:cs="宋体"/>
          <w:sz w:val="21"/>
          <w:szCs w:val="21"/>
          <w:highlight w:val="none"/>
          <w:lang w:val="en-US" w:eastAsia="zh-CN"/>
        </w:rPr>
      </w:r>
      <w:r/>
    </w:p>
    <w:p>
      <w:pPr>
        <w:pStyle w:val="1199"/>
        <w:jc w:val="center"/>
        <w:spacing w:before="0" w:line="360" w:lineRule="auto"/>
        <w:rPr>
          <w:rFonts w:ascii="Times New Roman" w:hAnsi="Times New Roman" w:eastAsia="宋体"/>
          <w:sz w:val="28"/>
        </w:rPr>
      </w:pPr>
      <w:r/>
      <w:bookmarkStart w:id="432" w:name="_Toc150509289"/>
      <w:r/>
      <w:bookmarkStart w:id="433" w:name="_Toc305158880"/>
      <w:r/>
      <w:bookmarkStart w:id="434" w:name="_Toc195842903"/>
      <w:r/>
      <w:bookmarkStart w:id="435" w:name="_Toc151193708"/>
      <w:r/>
      <w:bookmarkStart w:id="436" w:name="_Toc150480776"/>
      <w:r/>
      <w:bookmarkStart w:id="437" w:name="_Toc264969228"/>
      <w:r/>
      <w:bookmarkStart w:id="438" w:name="_Toc520356163"/>
      <w:r/>
      <w:bookmarkStart w:id="439" w:name="_Toc226965811"/>
      <w:r/>
      <w:bookmarkStart w:id="440" w:name="_Toc226337234"/>
      <w:r/>
      <w:bookmarkStart w:id="441" w:name="_Toc265228376"/>
      <w:r/>
      <w:bookmarkStart w:id="442" w:name="_Toc151193636"/>
      <w:r/>
      <w:bookmarkStart w:id="443" w:name="_Toc226309782"/>
      <w:r/>
      <w:bookmarkStart w:id="444" w:name="_Toc226965728"/>
      <w:r/>
      <w:bookmarkStart w:id="445" w:name="_Toc151193852"/>
      <w:r/>
      <w:bookmarkStart w:id="446" w:name="_Toc150774638"/>
      <w:r/>
      <w:bookmarkStart w:id="447" w:name="_Toc127151538"/>
      <w:r/>
      <w:bookmarkStart w:id="448" w:name="_Toc305158806"/>
      <w:r/>
      <w:bookmarkStart w:id="449" w:name="_Toc142311040"/>
      <w:r/>
      <w:bookmarkStart w:id="450" w:name="_Toc151193926"/>
      <w:r/>
      <w:bookmarkStart w:id="451" w:name="_Toc151190165"/>
      <w:r/>
      <w:bookmarkStart w:id="452" w:name="_Toc150774743"/>
      <w:r/>
      <w:bookmarkStart w:id="453" w:name="_Toc151193780"/>
      <w:r>
        <w:rPr>
          <w:rFonts w:ascii="Times New Roman" w:hAnsi="Times New Roman" w:eastAsia="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rPr>
        <w:t xml:space="preserve">评审</w:t>
      </w:r>
      <w:r>
        <w:rPr>
          <w:rFonts w:ascii="Times New Roman" w:hAnsi="Times New Roman" w:eastAsia="宋体"/>
          <w:sz w:val="28"/>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lang w:val="en-US" w:eastAsia="zh-CN"/>
        </w:rPr>
        <w:t xml:space="preserve">17.响应文件的解密与开启</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bookmarkStart w:id="454" w:name="_Toc520356165"/>
      <w:r>
        <w:rPr>
          <w:rFonts w:hint="eastAsia" w:ascii="宋体" w:hAnsi="宋体" w:eastAsia="宋体" w:cs="宋体"/>
          <w:sz w:val="21"/>
          <w:szCs w:val="21"/>
          <w:highlight w:val="none"/>
        </w:rPr>
        <w:t xml:space="preserve">17.1采购人或采购代理机构将按竞争性磋商文件的规定，在响应文件提交截止时间的同一时间和竞争性磋商文件预先确定的地点开启响应文件。</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17.2本项目采用不见面交易模式，使用</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在线进行解密。供应商应在规定的时间内对响应文件进行解密，因非系统原因导致的解密失败，视为响应无效。</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17.3供应商不足3家的，不予解密。</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17.4本项目不公开报价。</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17.6</w:t>
      </w:r>
      <w:r>
        <w:rPr>
          <w:rFonts w:hint="eastAsia" w:ascii="宋体" w:hAnsi="宋体" w:eastAsia="宋体" w:cs="宋体"/>
          <w:b/>
          <w:bCs/>
          <w:sz w:val="21"/>
          <w:szCs w:val="21"/>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s="宋体"/>
          <w:b/>
          <w:bCs/>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17.7如果在采购活动过程中出现以下情形，导致“</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1)平台系统发生故障而无法登录访问的；</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2)平台系统应用或数据库出现错误，不能进行正常操作的；</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3)平台系统发现严重安全漏洞，有潜在泄密危险的；</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4)病毒发作导致平台系统不能进行正常操作的；</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5)其他无法保证本次采购活动的公平、公正和安全的情况。</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 w:val="21"/>
          <w:szCs w:val="21"/>
          <w:highlight w:val="none"/>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End w:id="454"/>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磋商小组</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18.1</w:t>
      </w:r>
      <w:r>
        <w:rPr>
          <w:rFonts w:hint="eastAsia" w:ascii="宋体" w:hAnsi="宋体" w:eastAsia="宋体" w:cs="宋体"/>
          <w:sz w:val="21"/>
          <w:szCs w:val="21"/>
        </w:rPr>
        <w:t xml:space="preserve">磋商小组根据政府采购有关规定和本次采购项目的特点进行组建，并负责具体评审事务，独立履行职责。</w:t>
      </w:r>
      <w:bookmarkStart w:id="455" w:name="_Toc520356166"/>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18.2</w:t>
      </w:r>
      <w:r>
        <w:rPr>
          <w:rFonts w:hint="eastAsia" w:ascii="宋体" w:hAnsi="宋体" w:eastAsia="宋体" w:cs="宋体"/>
          <w:sz w:val="21"/>
          <w:szCs w:val="21"/>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评审方法和评审标准</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sz w:val="24"/>
        </w:rPr>
      </w:pPr>
      <w:r>
        <w:rPr>
          <w:rFonts w:hint="eastAsia" w:ascii="宋体" w:hAnsi="宋体" w:eastAsia="宋体" w:cs="宋体"/>
          <w:sz w:val="21"/>
          <w:szCs w:val="21"/>
          <w:lang w:val="en-US" w:eastAsia="zh-CN"/>
        </w:rPr>
        <w:t xml:space="preserve">19.1</w:t>
      </w:r>
      <w:r>
        <w:rPr>
          <w:rFonts w:hint="eastAsia" w:ascii="宋体" w:hAnsi="宋体" w:eastAsia="宋体" w:cs="宋体"/>
          <w:sz w:val="21"/>
          <w:szCs w:val="21"/>
        </w:rPr>
        <w:t xml:space="preserve">见第三章《评审方法和评审标准》。</w:t>
      </w:r>
      <w:r>
        <w:rPr>
          <w:sz w:val="24"/>
        </w:rPr>
      </w:r>
      <w:r/>
    </w:p>
    <w:p>
      <w:pPr>
        <w:pStyle w:val="1199"/>
        <w:spacing w:before="0" w:line="360" w:lineRule="auto"/>
        <w:rPr>
          <w:rFonts w:ascii="Times New Roman" w:hAnsi="Times New Roman" w:eastAsia="宋体" w:cs="Times New Roman"/>
          <w:b/>
          <w:sz w:val="28"/>
          <w:highlight w:val="none"/>
        </w:rPr>
      </w:pPr>
      <w:r/>
      <w:bookmarkStart w:id="457" w:name="_Toc305158813"/>
      <w:r/>
      <w:bookmarkStart w:id="458" w:name="_Toc151193715"/>
      <w:r/>
      <w:bookmarkStart w:id="459" w:name="_Toc151193933"/>
      <w:r/>
      <w:bookmarkStart w:id="460" w:name="_Toc127151545"/>
      <w:r/>
      <w:bookmarkStart w:id="461" w:name="_Toc151193787"/>
      <w:r/>
      <w:bookmarkStart w:id="462" w:name="_Toc150509296"/>
      <w:r/>
      <w:bookmarkStart w:id="463" w:name="_Toc264969235"/>
      <w:r/>
      <w:bookmarkStart w:id="464" w:name="_Toc150480783"/>
      <w:r/>
      <w:bookmarkStart w:id="465" w:name="_Toc195842910"/>
      <w:r/>
      <w:bookmarkStart w:id="466" w:name="_Toc151190172"/>
      <w:r/>
      <w:bookmarkStart w:id="467" w:name="_Toc151193643"/>
      <w:r/>
      <w:bookmarkStart w:id="468" w:name="_Toc226337241"/>
      <w:r/>
      <w:bookmarkStart w:id="469" w:name="_Toc265228383"/>
      <w:r/>
      <w:bookmarkStart w:id="470" w:name="_Toc226965818"/>
      <w:r/>
      <w:bookmarkStart w:id="471" w:name="_Toc151193859"/>
      <w:r/>
      <w:bookmarkStart w:id="472" w:name="_Toc226309789"/>
      <w:r/>
      <w:bookmarkStart w:id="473" w:name="_Toc150774645"/>
      <w:r/>
      <w:bookmarkStart w:id="474" w:name="_Toc150774750"/>
      <w:r/>
      <w:bookmarkStart w:id="475" w:name="_Toc142311047"/>
      <w:r/>
      <w:bookmarkStart w:id="476" w:name="_Toc226965735"/>
      <w:r/>
      <w:bookmarkStart w:id="477" w:name="_Toc305158887"/>
      <w:r>
        <w:rPr>
          <w:rFonts w:ascii="Times New Roman" w:hAnsi="Times New Roman" w:eastAsia="宋体" w:cs="Times New Roman"/>
          <w:b/>
          <w:sz w:val="28"/>
          <w:highlight w:val="none"/>
        </w:rPr>
        <w:t xml:space="preserve">六   </w:t>
      </w:r>
      <w:bookmarkEnd w:id="456"/>
      <w:r>
        <w:rPr>
          <w:rFonts w:ascii="Times New Roman" w:hAnsi="Times New Roman" w:eastAsia="宋体" w:cs="Times New Roman"/>
          <w:b/>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s="Times New Roman"/>
          <w:b/>
          <w:sz w:val="28"/>
          <w:highlight w:val="none"/>
        </w:rPr>
        <w:t xml:space="preserve">成交</w:t>
      </w:r>
      <w:r>
        <w:rPr>
          <w:rFonts w:ascii="Times New Roman" w:hAnsi="Times New Roman" w:eastAsia="宋体" w:cs="Times New Roman"/>
          <w:b/>
          <w:sz w:val="28"/>
          <w:highlight w:val="none"/>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Start w:id="478" w:name="_Toc151193861"/>
      <w:r/>
      <w:bookmarkStart w:id="479" w:name="_Toc164229242"/>
      <w:r/>
      <w:bookmarkStart w:id="480" w:name="_Toc226965820"/>
      <w:r/>
      <w:bookmarkStart w:id="481" w:name="_Toc226309791"/>
      <w:r/>
      <w:bookmarkStart w:id="482" w:name="_Toc150774752"/>
      <w:r/>
      <w:bookmarkStart w:id="483" w:name="_Toc151193717"/>
      <w:r/>
      <w:bookmarkStart w:id="484" w:name="_Toc164608816"/>
      <w:r/>
      <w:bookmarkStart w:id="485" w:name="_Toc127151547"/>
      <w:r/>
      <w:bookmarkStart w:id="486" w:name="_Toc164608661"/>
      <w:r/>
      <w:bookmarkStart w:id="487" w:name="_Toc195842912"/>
      <w:r/>
      <w:bookmarkStart w:id="488" w:name="_Toc142311049"/>
      <w:r/>
      <w:bookmarkStart w:id="489" w:name="_Toc150509298"/>
      <w:r/>
      <w:bookmarkStart w:id="490" w:name="_Toc226965737"/>
      <w:r/>
      <w:bookmarkStart w:id="491" w:name="_Toc149720840"/>
      <w:r/>
      <w:bookmarkStart w:id="492" w:name="_Toc305158889"/>
      <w:r/>
      <w:bookmarkStart w:id="493" w:name="_Toc151190174"/>
      <w:r/>
      <w:bookmarkStart w:id="494" w:name="_Toc150480785"/>
      <w:r/>
      <w:bookmarkStart w:id="495" w:name="_Toc164351641"/>
      <w:r/>
      <w:bookmarkStart w:id="496" w:name="_Toc226337243"/>
      <w:r/>
      <w:bookmarkStart w:id="497" w:name="_Toc127161461"/>
      <w:r/>
      <w:bookmarkStart w:id="498" w:name="_Toc127151748"/>
      <w:r/>
      <w:bookmarkStart w:id="499" w:name="_Toc264969237"/>
      <w:r/>
      <w:bookmarkStart w:id="500" w:name="_Toc151193935"/>
      <w:r/>
      <w:bookmarkStart w:id="501" w:name="_Toc151193789"/>
      <w:r/>
      <w:bookmarkStart w:id="502" w:name="_Toc151193645"/>
      <w:r/>
      <w:bookmarkStart w:id="503" w:name="_Toc265228385"/>
      <w:r/>
      <w:bookmarkStart w:id="504" w:name="_Toc150774647"/>
      <w:r/>
      <w:bookmarkStart w:id="505" w:name="_Toc164229388"/>
      <w:r/>
      <w:bookmarkStart w:id="506" w:name="_Toc305158815"/>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20.1</w:t>
      </w:r>
      <w:r>
        <w:rPr>
          <w:rFonts w:hint="eastAsia" w:ascii="宋体" w:hAnsi="宋体" w:eastAsia="宋体" w:cs="宋体"/>
          <w:sz w:val="21"/>
          <w:szCs w:val="21"/>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highlight w:val="none"/>
        </w:rPr>
        <w:outlineLvl w:val="1"/>
      </w:pPr>
      <w:r/>
      <w:bookmarkStart w:id="507" w:name="_Toc305158891"/>
      <w:r/>
      <w:bookmarkStart w:id="508" w:name="_Toc305158817"/>
      <w:r/>
      <w:bookmarkStart w:id="509" w:name="_Toc151193937"/>
      <w:r/>
      <w:bookmarkStart w:id="510" w:name="_Toc151193791"/>
      <w:r/>
      <w:bookmarkStart w:id="511" w:name="_Toc226965739"/>
      <w:r/>
      <w:bookmarkStart w:id="512" w:name="_Toc150774754"/>
      <w:r/>
      <w:bookmarkStart w:id="513" w:name="_Toc151193719"/>
      <w:r/>
      <w:bookmarkStart w:id="514" w:name="_Toc150774649"/>
      <w:r/>
      <w:bookmarkStart w:id="515" w:name="_Ref467307090"/>
      <w:r/>
      <w:bookmarkStart w:id="516" w:name="_Ref467306425"/>
      <w:r/>
      <w:bookmarkStart w:id="517" w:name="_Toc520356176"/>
      <w:r/>
      <w:bookmarkStart w:id="518" w:name="_Toc164229244"/>
      <w:r/>
      <w:bookmarkStart w:id="519" w:name="_Toc164229390"/>
      <w:r/>
      <w:bookmarkStart w:id="520" w:name="_Toc151193647"/>
      <w:r/>
      <w:bookmarkStart w:id="521" w:name="_Toc264969239"/>
      <w:r/>
      <w:bookmarkStart w:id="522" w:name="_Toc164351643"/>
      <w:r/>
      <w:bookmarkStart w:id="523" w:name="_Toc150509300"/>
      <w:r/>
      <w:bookmarkStart w:id="524" w:name="_Toc164608663"/>
      <w:r/>
      <w:bookmarkStart w:id="525" w:name="_Toc195842914"/>
      <w:r/>
      <w:bookmarkStart w:id="526" w:name="_Toc226337245"/>
      <w:r/>
      <w:bookmarkStart w:id="527" w:name="_Toc226309793"/>
      <w:r/>
      <w:bookmarkStart w:id="528" w:name="_Toc127151750"/>
      <w:r/>
      <w:bookmarkStart w:id="529" w:name="_Toc127161463"/>
      <w:r/>
      <w:bookmarkStart w:id="530" w:name="_Toc142311051"/>
      <w:r/>
      <w:bookmarkStart w:id="531" w:name="_Toc226965822"/>
      <w:r/>
      <w:bookmarkStart w:id="532" w:name="_Toc150480787"/>
      <w:r/>
      <w:bookmarkStart w:id="533" w:name="_Toc151190176"/>
      <w:r/>
      <w:bookmarkStart w:id="534" w:name="_Toc151193863"/>
      <w:r/>
      <w:bookmarkStart w:id="535" w:name="_Toc164608818"/>
      <w:r/>
      <w:bookmarkStart w:id="536" w:name="_Toc149720842"/>
      <w:r/>
      <w:bookmarkStart w:id="537" w:name="_Toc265228387"/>
      <w:r/>
      <w:bookmarkStart w:id="538" w:name="_Toc127151549"/>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成交公告与成交通知书</w:t>
      </w:r>
      <w:bookmarkEnd w:id="507"/>
      <w:r/>
      <w:bookmarkEnd w:id="508"/>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cs="宋体"/>
          <w:szCs w:val="21"/>
          <w:highlight w:val="none"/>
        </w:rPr>
        <w:t xml:space="preserve">21.1采购人从评审报告提出的成交候选供应商中，按照排序由高到低的原则确定成交供应商。采购人确定成交供应商后</w:t>
      </w:r>
      <w:r>
        <w:rPr>
          <w:rFonts w:hint="eastAsia" w:ascii="宋体" w:hAnsi="宋体" w:cs="宋体"/>
          <w:szCs w:val="21"/>
          <w:highlight w:val="none"/>
        </w:rPr>
        <w:t xml:space="preserve">2个工作日内，代理机构将在</w:t>
      </w:r>
      <w:r>
        <w:rPr>
          <w:rFonts w:hint="eastAsia" w:ascii="宋体" w:hAnsi="宋体" w:cs="宋体"/>
          <w:b/>
          <w:bCs/>
          <w:szCs w:val="21"/>
          <w:highlight w:val="none"/>
        </w:rPr>
        <w:t xml:space="preserve">“江苏省政府采购网”</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“常州市政府采购网”</w:t>
      </w:r>
      <w:r>
        <w:rPr>
          <w:rFonts w:hint="eastAsia" w:ascii="宋体" w:hAnsi="宋体" w:cs="宋体"/>
          <w:szCs w:val="21"/>
          <w:highlight w:val="none"/>
        </w:rPr>
        <w:t xml:space="preserve">公告成交结果，同时向成交供应商发出成交通知书，成交公告期限为1个工作日。</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21.2</w:t>
      </w:r>
      <w:r>
        <w:rPr>
          <w:rFonts w:hint="eastAsia" w:ascii="宋体" w:hAnsi="宋体" w:eastAsia="宋体" w:cs="宋体"/>
          <w:sz w:val="21"/>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终止</w:t>
      </w:r>
      <w:r>
        <w:rPr>
          <w:rFonts w:hint="eastAsia" w:ascii="宋体" w:hAnsi="宋体" w:eastAsia="宋体" w:cs="宋体"/>
          <w:sz w:val="21"/>
          <w:szCs w:val="21"/>
        </w:rPr>
      </w:r>
      <w:r/>
    </w:p>
    <w:p>
      <w:pPr>
        <w:pStyle w:val="1197"/>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305158818"/>
      <w:r/>
      <w:bookmarkStart w:id="540" w:name="_Toc151193648"/>
      <w:r/>
      <w:bookmarkStart w:id="541" w:name="_Ref467307062"/>
      <w:r/>
      <w:bookmarkStart w:id="542" w:name="_Toc226965740"/>
      <w:r/>
      <w:bookmarkStart w:id="543" w:name="_Ref467306377"/>
      <w:r/>
      <w:bookmarkStart w:id="544" w:name="_Toc164229245"/>
      <w:r/>
      <w:bookmarkStart w:id="545" w:name="_Toc264969240"/>
      <w:r/>
      <w:bookmarkStart w:id="546" w:name="_Toc151190177"/>
      <w:r/>
      <w:bookmarkStart w:id="547" w:name="_Toc226337246"/>
      <w:r/>
      <w:bookmarkStart w:id="548" w:name="_Ref467307204"/>
      <w:r/>
      <w:bookmarkStart w:id="549" w:name="_Toc151193938"/>
      <w:r/>
      <w:bookmarkStart w:id="550" w:name="_Ref467306978"/>
      <w:r/>
      <w:bookmarkStart w:id="551" w:name="_Toc127151550"/>
      <w:r/>
      <w:bookmarkStart w:id="552" w:name="_Toc164608819"/>
      <w:r/>
      <w:bookmarkStart w:id="553" w:name="_Toc150774650"/>
      <w:r/>
      <w:bookmarkStart w:id="554" w:name="_Toc127161464"/>
      <w:r/>
      <w:bookmarkStart w:id="555" w:name="_Toc265228388"/>
      <w:r/>
      <w:bookmarkStart w:id="556" w:name="_Toc150509301"/>
      <w:r/>
      <w:bookmarkStart w:id="557" w:name="_Toc164351644"/>
      <w:r/>
      <w:bookmarkStart w:id="558" w:name="_Toc150774755"/>
      <w:r/>
      <w:bookmarkStart w:id="559" w:name="_Toc195842915"/>
      <w:r/>
      <w:bookmarkStart w:id="560" w:name="_Toc127151751"/>
      <w:r/>
      <w:bookmarkStart w:id="561" w:name="_Toc226965823"/>
      <w:r/>
      <w:bookmarkStart w:id="562" w:name="_Toc520356175"/>
      <w:r/>
      <w:bookmarkStart w:id="563" w:name="_Toc305158892"/>
      <w:r/>
      <w:bookmarkStart w:id="564" w:name="_Toc164608664"/>
      <w:r/>
      <w:bookmarkStart w:id="565" w:name="_Toc164229391"/>
      <w:r/>
      <w:bookmarkStart w:id="566" w:name="_Toc151193792"/>
      <w:r/>
      <w:bookmarkStart w:id="567" w:name="_Toc151193864"/>
      <w:r/>
      <w:bookmarkStart w:id="568" w:name="_Toc226309794"/>
      <w:r/>
      <w:bookmarkStart w:id="569" w:name="_Toc142311052"/>
      <w:r/>
      <w:bookmarkStart w:id="570" w:name="_Toc150480788"/>
      <w:r/>
      <w:bookmarkStart w:id="571" w:name="_Toc149720843"/>
      <w:r/>
      <w:bookmarkStart w:id="572" w:name="_Toc151193720"/>
      <w:r>
        <w:rPr>
          <w:rFonts w:hint="eastAsia" w:ascii="宋体" w:hAnsi="宋体" w:eastAsia="宋体" w:cs="宋体"/>
          <w:sz w:val="21"/>
          <w:szCs w:val="21"/>
          <w:highlight w:val="none"/>
          <w:lang w:val="en-US" w:eastAsia="zh-CN"/>
        </w:rPr>
        <w:t xml:space="preserve">22.1在采购中，出现下列情形之一的，采购人或采购代理机构将终止竞争性磋商采购活动，发布项目终止公告并说明原因，重新开展采购活动：</w:t>
      </w:r>
      <w:r>
        <w:rPr>
          <w:rFonts w:hint="eastAsia" w:ascii="宋体" w:hAnsi="宋体" w:eastAsia="宋体" w:cs="宋体"/>
          <w:sz w:val="21"/>
          <w:szCs w:val="21"/>
          <w:highlight w:val="none"/>
          <w:lang w:val="en-US" w:eastAsia="zh-CN"/>
        </w:rPr>
      </w:r>
      <w:r/>
    </w:p>
    <w:p>
      <w:pPr>
        <w:pStyle w:val="1197"/>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22.1.1因情况变化，不再符合规定的竞争性磋商采购方式适用情形的；</w:t>
      </w:r>
      <w:r>
        <w:rPr>
          <w:rFonts w:hint="eastAsia" w:ascii="宋体" w:hAnsi="宋体" w:eastAsia="宋体" w:cs="宋体"/>
          <w:sz w:val="21"/>
          <w:szCs w:val="21"/>
          <w:highlight w:val="none"/>
          <w:lang w:val="en-US" w:eastAsia="zh-CN"/>
        </w:rPr>
      </w:r>
      <w:r/>
    </w:p>
    <w:p>
      <w:pPr>
        <w:pStyle w:val="1197"/>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22.1.2出现影响采购公正的违法、违规行为的；</w:t>
      </w:r>
      <w:r>
        <w:rPr>
          <w:rFonts w:hint="eastAsia" w:ascii="宋体" w:hAnsi="宋体" w:eastAsia="宋体" w:cs="宋体"/>
          <w:sz w:val="21"/>
          <w:szCs w:val="21"/>
          <w:highlight w:val="none"/>
          <w:lang w:val="en-US" w:eastAsia="zh-CN"/>
        </w:rPr>
      </w:r>
      <w:r/>
    </w:p>
    <w:p>
      <w:pPr>
        <w:pStyle w:val="1197"/>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sz w:val="21"/>
          <w:szCs w:val="21"/>
          <w:highlight w:val="none"/>
          <w:lang w:val="en-US" w:eastAsia="zh-CN"/>
        </w:rPr>
      </w:r>
      <w:r/>
    </w:p>
    <w:p>
      <w:pPr>
        <w:pStyle w:val="1197"/>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22.1.4平台系统出现序号17.7的所述情形，情况严重且影响采购活动公平、公正性的。</w:t>
      </w:r>
      <w:r>
        <w:rPr>
          <w:rFonts w:hint="eastAsia" w:ascii="宋体" w:hAnsi="宋体" w:eastAsia="宋体" w:cs="宋体"/>
          <w:sz w:val="21"/>
          <w:szCs w:val="21"/>
          <w:highlight w:val="none"/>
          <w:lang w:val="en-US" w:eastAsia="zh-CN"/>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23.1</w:t>
      </w:r>
      <w:r>
        <w:rPr>
          <w:rFonts w:hint="eastAsia" w:ascii="宋体" w:hAnsi="宋体" w:eastAsia="宋体" w:cs="宋体"/>
          <w:sz w:val="21"/>
          <w:szCs w:val="21"/>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Cs w:val="21"/>
          <w:highlight w:val="none"/>
        </w:rPr>
        <w:t xml:space="preserve">（</w:t>
      </w:r>
      <w:r>
        <w:rPr>
          <w:rFonts w:hint="eastAsia" w:ascii="宋体" w:hAnsi="宋体" w:cs="宋体"/>
          <w:b/>
          <w:bCs/>
          <w:szCs w:val="21"/>
          <w:highlight w:val="none"/>
        </w:rPr>
        <w:t xml:space="preserve">同时在“苏采云”政府采购一体化平台中签订线上合同</w:t>
      </w:r>
      <w:r>
        <w:rPr>
          <w:rFonts w:hint="eastAsia" w:ascii="宋体" w:hAnsi="宋体" w:cs="宋体"/>
          <w:szCs w:val="21"/>
          <w:highlight w:val="none"/>
        </w:rPr>
        <w:t xml:space="preserve">）。</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23.2</w:t>
      </w:r>
      <w:r>
        <w:rPr>
          <w:rFonts w:hint="eastAsia" w:ascii="宋体" w:hAnsi="宋体" w:eastAsia="宋体" w:cs="宋体"/>
          <w:sz w:val="21"/>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23.3</w:t>
      </w:r>
      <w:r>
        <w:rPr>
          <w:rFonts w:hint="eastAsia" w:ascii="宋体" w:hAnsi="宋体" w:eastAsia="宋体" w:cs="宋体"/>
          <w:sz w:val="21"/>
          <w:szCs w:val="21"/>
        </w:rPr>
        <w:t xml:space="preserve">联合体获得成交资格的，联合体各方应当共同与采购人签订合同，就成交项目向采购人承担连带责任。</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23.4</w:t>
      </w:r>
      <w:r>
        <w:rPr>
          <w:rFonts w:hint="eastAsia" w:ascii="宋体" w:hAnsi="宋体" w:eastAsia="宋体" w:cs="宋体"/>
          <w:sz w:val="21"/>
          <w:szCs w:val="21"/>
        </w:rPr>
        <w:t xml:space="preserve">政府采购合同不能转包。</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23.5</w:t>
      </w:r>
      <w:r>
        <w:rPr>
          <w:rFonts w:hint="eastAsia" w:ascii="宋体" w:hAnsi="宋体" w:eastAsia="宋体" w:cs="宋体"/>
          <w:sz w:val="21"/>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1"/>
          <w:szCs w:val="21"/>
        </w:rPr>
        <w:t xml:space="preserve">否则响应无效</w:t>
      </w:r>
      <w:r>
        <w:rPr>
          <w:rFonts w:hint="eastAsia" w:ascii="宋体" w:hAnsi="宋体" w:eastAsia="宋体" w:cs="宋体"/>
          <w:sz w:val="21"/>
          <w:szCs w:val="21"/>
        </w:rPr>
        <w:t xml:space="preserve">。成交供应商就采购项目和分包项目向采购人负责，分包供应商就分包项目承担责任。</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End w:id="515"/>
      <w:r/>
      <w:bookmarkEnd w:id="516"/>
      <w:r/>
      <w:bookmarkEnd w:id="517"/>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询问与质疑</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24.1</w:t>
      </w:r>
      <w:r>
        <w:rPr>
          <w:rFonts w:hint="eastAsia" w:ascii="宋体" w:hAnsi="宋体" w:eastAsia="宋体" w:cs="宋体"/>
          <w:sz w:val="21"/>
          <w:szCs w:val="21"/>
        </w:rPr>
        <w:t xml:space="preserve">询问</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24.1.1</w:t>
      </w:r>
      <w:r>
        <w:rPr>
          <w:rFonts w:hint="eastAsia" w:ascii="宋体" w:hAnsi="宋体" w:eastAsia="宋体" w:cs="宋体"/>
          <w:sz w:val="21"/>
          <w:szCs w:val="21"/>
        </w:rPr>
        <w:t xml:space="preserve">供应商对政府采购活动事项有疑问的，可依法提出询问，并按《供应商须知资料表》载明的形式送达采购人或采购代理机构。</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24.1.2</w:t>
      </w:r>
      <w:r>
        <w:rPr>
          <w:rFonts w:hint="eastAsia" w:ascii="宋体" w:hAnsi="宋体" w:eastAsia="宋体" w:cs="宋体"/>
          <w:sz w:val="21"/>
          <w:szCs w:val="21"/>
        </w:rPr>
        <w:t xml:space="preserve">采购人或采购代理机构对供应商依法提出的询问，在3个工作日内作出答复，但答复的内容不得涉及商业秘密。</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24.2</w:t>
      </w:r>
      <w:r>
        <w:rPr>
          <w:rFonts w:hint="eastAsia" w:ascii="宋体" w:hAnsi="宋体" w:eastAsia="宋体" w:cs="宋体"/>
          <w:sz w:val="21"/>
          <w:szCs w:val="21"/>
        </w:rPr>
        <w:t xml:space="preserve">质疑</w:t>
      </w:r>
      <w:r>
        <w:rPr>
          <w:rFonts w:hint="eastAsia" w:ascii="宋体" w:hAnsi="宋体" w:eastAsia="宋体" w:cs="宋体"/>
          <w:sz w:val="21"/>
          <w:szCs w:val="21"/>
        </w:rPr>
      </w:r>
      <w:r/>
    </w:p>
    <w:p>
      <w:pPr>
        <w:pStyle w:val="1197"/>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eastAsia="zh-CN"/>
        </w:rPr>
        <w:t xml:space="preserve">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1197"/>
        <w:ind w:firstLine="422"/>
        <w:spacing w:line="360" w:lineRule="auto"/>
        <w:rPr>
          <w:rFonts w:hint="eastAsia" w:ascii="宋体" w:hAnsi="宋体" w:eastAsia="宋体" w:cs="宋体"/>
          <w:sz w:val="21"/>
          <w:szCs w:val="21"/>
        </w:rPr>
      </w:pPr>
      <w:r>
        <w:rPr>
          <w:rFonts w:hint="eastAsia" w:ascii="宋体" w:hAnsi="宋体" w:cs="宋体"/>
          <w:b/>
          <w:szCs w:val="21"/>
          <w:highlight w:val="none"/>
        </w:rPr>
        <w:t xml:space="preserve">24.2.2磋商文件中采购需求以及相关部分（第四章、第五章以及供应商资格要求）由采购人负责制定和管理，对该部分内容有询问或者质疑的，供应商应当向采购人书面提出，由采购人负责接收和回复。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sz w:val="21"/>
          <w:szCs w:val="21"/>
        </w:rPr>
      </w:r>
      <w:r/>
    </w:p>
    <w:p>
      <w:pPr>
        <w:pStyle w:val="1197"/>
        <w:numPr>
          <w:ilvl w:val="0"/>
          <w:numId w:val="0"/>
        </w:num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24.2.3</w:t>
      </w:r>
      <w:r>
        <w:rPr>
          <w:rFonts w:hint="eastAsia" w:ascii="宋体" w:hAnsi="宋体" w:eastAsia="宋体" w:cs="宋体"/>
          <w:sz w:val="21"/>
          <w:szCs w:val="21"/>
        </w:rPr>
        <w:t xml:space="preserve">质疑函须使用财政部制定的范本文件。（下载网址：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"http://gks.mof.gov.cn/ztztz/zhengfucaigouguanli/201802/t20180201_2804589.htm" </w:instrText>
      </w:r>
      <w:r>
        <w:rPr>
          <w:rFonts w:hint="eastAsia" w:ascii="宋体" w:hAnsi="宋体" w:eastAsia="宋体" w:cs="宋体"/>
          <w:sz w:val="21"/>
          <w:szCs w:val="21"/>
        </w:rPr>
        <w:fldChar w:fldCharType="separate"/>
      </w:r>
      <w:r>
        <w:rPr>
          <w:rStyle w:val="1275"/>
          <w:rFonts w:hint="eastAsia" w:ascii="宋体" w:hAnsi="宋体" w:eastAsia="宋体" w:cs="宋体"/>
          <w:sz w:val="21"/>
          <w:szCs w:val="21"/>
        </w:rPr>
        <w:t xml:space="preserve">http://gk</w:t>
      </w:r>
      <w:bookmarkStart w:id="573" w:name="_Hlt100654014"/>
      <w:r>
        <w:rPr>
          <w:rStyle w:val="1275"/>
          <w:rFonts w:hint="eastAsia" w:ascii="宋体" w:hAnsi="宋体" w:eastAsia="宋体" w:cs="宋体"/>
          <w:sz w:val="21"/>
          <w:szCs w:val="21"/>
        </w:rPr>
        <w:t xml:space="preserve">s</w:t>
      </w:r>
      <w:bookmarkEnd w:id="573"/>
      <w:r>
        <w:rPr>
          <w:rStyle w:val="1275"/>
          <w:rFonts w:hint="eastAsia" w:ascii="宋体" w:hAnsi="宋体" w:eastAsia="宋体" w:cs="宋体"/>
          <w:sz w:val="21"/>
          <w:szCs w:val="21"/>
        </w:rPr>
        <w:t xml:space="preserve">.m</w:t>
      </w:r>
      <w:bookmarkStart w:id="574" w:name="_Hlt100653993"/>
      <w:r/>
      <w:bookmarkStart w:id="575" w:name="_Hlt100653994"/>
      <w:r>
        <w:rPr>
          <w:rStyle w:val="1275"/>
          <w:rFonts w:hint="eastAsia" w:ascii="宋体" w:hAnsi="宋体" w:eastAsia="宋体" w:cs="宋体"/>
          <w:sz w:val="21"/>
          <w:szCs w:val="21"/>
        </w:rPr>
        <w:t xml:space="preserve">o</w:t>
      </w:r>
      <w:bookmarkEnd w:id="574"/>
      <w:r/>
      <w:bookmarkEnd w:id="575"/>
      <w:r/>
      <w:bookmarkStart w:id="576" w:name="_Hlt101169156"/>
      <w:r>
        <w:rPr>
          <w:rStyle w:val="1275"/>
          <w:rFonts w:hint="eastAsia" w:ascii="宋体" w:hAnsi="宋体" w:eastAsia="宋体" w:cs="宋体"/>
          <w:sz w:val="21"/>
          <w:szCs w:val="21"/>
        </w:rPr>
        <w:t xml:space="preserve">f</w:t>
      </w:r>
      <w:bookmarkEnd w:id="576"/>
      <w:r>
        <w:rPr>
          <w:rStyle w:val="1275"/>
          <w:rFonts w:hint="eastAsia" w:ascii="宋体" w:hAnsi="宋体" w:eastAsia="宋体" w:cs="宋体"/>
          <w:sz w:val="21"/>
          <w:szCs w:val="21"/>
        </w:rPr>
        <w:t xml:space="preserve">.gov.cn/ztztz/zhengfucaigouguanli/201802/t20180201_2804589.htm</w:t>
      </w:r>
      <w:r>
        <w:rPr>
          <w:rFonts w:hint="eastAsia" w:ascii="宋体" w:hAnsi="宋体" w:eastAsia="宋体" w:cs="宋体"/>
          <w:sz w:val="21"/>
          <w:szCs w:val="21"/>
        </w:rPr>
        <w:fldChar w:fldCharType="end"/>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24.2.4</w:t>
      </w: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sz w:val="21"/>
          <w:szCs w:val="21"/>
        </w:rPr>
      </w:r>
      <w:r/>
    </w:p>
    <w:p>
      <w:pPr>
        <w:pStyle w:val="1197"/>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24.2.5</w:t>
      </w:r>
      <w:r>
        <w:rPr>
          <w:rFonts w:hint="eastAsia" w:ascii="宋体" w:hAnsi="宋体" w:eastAsia="宋体" w:cs="宋体"/>
          <w:sz w:val="21"/>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24.3</w:t>
      </w:r>
      <w:r>
        <w:rPr>
          <w:rFonts w:hint="eastAsia" w:ascii="宋体" w:hAnsi="宋体" w:eastAsia="宋体" w:cs="宋体"/>
          <w:sz w:val="21"/>
          <w:szCs w:val="21"/>
        </w:rPr>
        <w:t xml:space="preserve">接收询问和质疑的联系部门、联系电话和通讯地址见《供应商须知资料表》。</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rPr>
        <w:t xml:space="preserve">代理费</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25.1</w:t>
      </w:r>
      <w:r>
        <w:rPr>
          <w:rFonts w:hint="eastAsia" w:ascii="宋体" w:hAnsi="宋体" w:eastAsia="宋体" w:cs="宋体"/>
          <w:sz w:val="21"/>
          <w:szCs w:val="21"/>
        </w:rPr>
        <w:t xml:space="preserve">收费对象、收费标准及缴纳时间见《供应商须知资料表》。由成交供应商支付的，成交供应</w:t>
      </w:r>
      <w:r>
        <w:rPr>
          <w:rFonts w:hint="eastAsia" w:ascii="宋体" w:hAnsi="宋体" w:eastAsia="宋体" w:cs="宋体"/>
          <w:sz w:val="21"/>
          <w:szCs w:val="21"/>
          <w:highlight w:val="none"/>
        </w:rPr>
        <w:t xml:space="preserve">商须一次性向采购代理机构缴纳代理费，报价应包含</w:t>
      </w:r>
      <w:r>
        <w:rPr>
          <w:rFonts w:hint="eastAsia" w:ascii="宋体" w:hAnsi="宋体" w:eastAsia="宋体" w:cs="宋体"/>
          <w:sz w:val="21"/>
          <w:szCs w:val="21"/>
          <w:highlight w:val="none"/>
        </w:rPr>
        <w:t xml:space="preserve">代理费用。</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b/>
          <w:bCs/>
          <w:sz w:val="21"/>
          <w:szCs w:val="21"/>
          <w:lang w:val="en-US" w:eastAsia="zh-CN"/>
        </w:rPr>
      </w:pPr>
      <w:r/>
      <w:bookmarkStart w:id="577" w:name="_Toc142311056"/>
      <w:r/>
      <w:bookmarkStart w:id="578" w:name="_Toc305158822"/>
      <w:r/>
      <w:bookmarkStart w:id="579" w:name="_Toc305158896"/>
      <w:r/>
      <w:bookmarkStart w:id="580" w:name="_Toc353873664"/>
      <w:r/>
      <w:bookmarkStart w:id="581" w:name="_Toc264969244"/>
      <w:r/>
      <w:bookmarkStart w:id="582" w:name="_Toc353873934"/>
      <w:r/>
      <w:bookmarkStart w:id="583" w:name="_Toc265228392"/>
      <w:r/>
      <w:bookmarkStart w:id="584" w:name="_Toc226337250"/>
      <w:r/>
      <w:bookmarkStart w:id="585" w:name="_Toc150774759"/>
      <w:r/>
      <w:bookmarkStart w:id="586" w:name="_Toc226965827"/>
      <w:r/>
      <w:bookmarkStart w:id="587" w:name="_Toc150480792"/>
      <w:r/>
      <w:bookmarkStart w:id="588" w:name="_Toc127151554"/>
      <w:r/>
      <w:bookmarkStart w:id="589" w:name="_Toc353825544"/>
      <w:r>
        <w:rPr>
          <w:rFonts w:hint="eastAsia" w:ascii="宋体" w:hAnsi="宋体" w:eastAsia="宋体" w:cs="宋体"/>
          <w:sz w:val="21"/>
          <w:szCs w:val="21"/>
          <w:highlight w:val="none"/>
          <w:lang w:val="en-US" w:eastAsia="zh-CN"/>
        </w:rPr>
        <w:t xml:space="preserve">25.2</w:t>
      </w:r>
      <w:r>
        <w:rPr>
          <w:rFonts w:hint="eastAsia" w:ascii="宋体" w:hAnsi="宋体" w:eastAsia="宋体" w:cs="宋体"/>
          <w:b/>
          <w:bCs/>
          <w:sz w:val="21"/>
          <w:szCs w:val="21"/>
          <w:lang w:val="en-US" w:eastAsia="zh-CN"/>
        </w:rPr>
        <w:t xml:space="preserve">成交供应商须按成交金额为基数，根据江苏省物价局苏价服〔2003〕4号、国家发展改革委员会发改办价格〔2003〕859.2号、发改价格〔2011〕534号文件精神，按差额定率累进法计算后支付成交服务费，成交服务收费按上述计算方法不足人民币3000元的，按人民币3000元收取。以上费用应在中标（成交）结果公示结束后五个工作日内支付至代理机构。</w:t>
      </w:r>
      <w:r>
        <w:rPr>
          <w:rFonts w:hint="eastAsia" w:ascii="宋体" w:hAnsi="宋体" w:eastAsia="宋体" w:cs="宋体"/>
          <w:b/>
          <w:bCs/>
          <w:sz w:val="21"/>
          <w:szCs w:val="21"/>
          <w:lang w:val="en-US" w:eastAsia="zh-CN"/>
        </w:rPr>
      </w:r>
      <w:r/>
    </w:p>
    <w:p>
      <w:pPr>
        <w:pStyle w:val="1197"/>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代理服务收费标准</w:t>
      </w:r>
      <w:r>
        <w:rPr>
          <w:rFonts w:hint="eastAsia" w:ascii="宋体" w:hAnsi="宋体" w:eastAsia="宋体" w:cs="宋体"/>
          <w:sz w:val="21"/>
          <w:szCs w:val="21"/>
        </w:rPr>
      </w:r>
      <w:r/>
    </w:p>
    <w:tbl>
      <w:tblPr>
        <w:tblW w:w="7659" w:type="dxa"/>
        <w:tblInd w:w="578" w:type="dxa"/>
        <w:tblLayout w:type="fixed"/>
        <w:tblCellMar>
          <w:left w:w="15" w:type="dxa"/>
          <w:top w:w="15" w:type="dxa"/>
          <w:right w:w="15" w:type="dxa"/>
          <w:bottom w:w="0" w:type="dxa"/>
        </w:tblCellMar>
        <w:tblLook w:val="04A0" w:firstRow="1" w:lastRow="0" w:firstColumn="1" w:lastColumn="0" w:noHBand="0" w:noVBand="1"/>
      </w:tblPr>
      <w:tblGrid>
        <w:gridCol w:w="4469"/>
        <w:gridCol w:w="3190"/>
      </w:tblGrid>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197"/>
              <w:jc w:val="center"/>
              <w:keepLines w:val="0"/>
              <w:keepNext w:val="0"/>
              <w:pageBreakBefore w:val="0"/>
              <w:spacing w:line="240" w:lineRule="auto"/>
              <w:widowControl/>
              <w:rPr>
                <w:rFonts w:hint="eastAsia" w:ascii="宋体" w:hAnsi="宋体" w:cs="宋体"/>
                <w:b/>
                <w:color w:val="000000"/>
                <w:szCs w:val="21"/>
                <w:highlight w:val="none"/>
              </w:rPr>
              <w:outlineLvl w:val="9"/>
            </w:pPr>
            <w:r>
              <w:rPr>
                <w:rFonts w:hint="eastAsia" w:ascii="宋体" w:hAnsi="宋体" w:cs="宋体"/>
                <w:b/>
                <w:color w:val="000000"/>
                <w:szCs w:val="21"/>
                <w:highlight w:val="none"/>
                <w:lang w:val="en-US" w:eastAsia="zh-CN"/>
              </w:rPr>
              <w:t xml:space="preserve">成交</w:t>
            </w:r>
            <w:r>
              <w:rPr>
                <w:rFonts w:hint="eastAsia" w:ascii="宋体" w:hAnsi="宋体" w:cs="宋体"/>
                <w:b/>
                <w:color w:val="000000"/>
                <w:szCs w:val="21"/>
                <w:highlight w:val="none"/>
              </w:rPr>
              <w:t xml:space="preserve">金额（万元）</w:t>
            </w: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197"/>
              <w:jc w:val="center"/>
              <w:keepLines w:val="0"/>
              <w:keepNext w:val="0"/>
              <w:pageBreakBefore w:val="0"/>
              <w:spacing w:line="240" w:lineRule="auto"/>
              <w:widowControl/>
              <w:rPr>
                <w:rFonts w:hint="eastAsia" w:ascii="宋体" w:hAnsi="宋体" w:cs="宋体"/>
                <w:b/>
                <w:color w:val="000000"/>
                <w:szCs w:val="21"/>
                <w:highlight w:val="none"/>
              </w:rPr>
              <w:outlineLvl w:val="9"/>
            </w:pPr>
            <w:r>
              <w:rPr>
                <w:rFonts w:hint="eastAsia" w:ascii="宋体" w:hAnsi="宋体" w:cs="宋体"/>
                <w:b/>
                <w:color w:val="000000"/>
                <w:szCs w:val="21"/>
                <w:highlight w:val="none"/>
                <w:lang w:eastAsia="zh-CN"/>
              </w:rPr>
              <w:t xml:space="preserve">成交服务费</w:t>
            </w:r>
            <w:r>
              <w:rPr>
                <w:rFonts w:hint="eastAsia" w:ascii="宋体" w:hAnsi="宋体" w:cs="宋体"/>
                <w:b/>
                <w:color w:val="000000"/>
                <w:szCs w:val="21"/>
                <w:highlight w:val="none"/>
              </w:rPr>
              <w:t xml:space="preserve">费率</w:t>
            </w:r>
            <w:r>
              <w:rPr>
                <w:rFonts w:hint="eastAsia" w:ascii="宋体" w:hAnsi="宋体" w:cs="宋体"/>
                <w:b/>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197"/>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100（含）以下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197"/>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197"/>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100（不含）-500（含）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197"/>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0.8</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197"/>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szCs w:val="21"/>
              </w:rPr>
              <w:t xml:space="preserve">……</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197"/>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r>
            <w:r/>
          </w:p>
        </w:tc>
      </w:tr>
    </w:tbl>
    <w:p>
      <w:pPr>
        <w:pStyle w:val="1197"/>
        <w:ind w:firstLine="420"/>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26.纸质响应文件 </w:t>
      </w:r>
      <w:r>
        <w:rPr>
          <w:rFonts w:hint="eastAsia" w:ascii="宋体" w:hAnsi="宋体" w:cs="宋体"/>
          <w:szCs w:val="21"/>
          <w:highlight w:val="none"/>
        </w:rPr>
      </w:r>
      <w:r/>
    </w:p>
    <w:p>
      <w:pPr>
        <w:pStyle w:val="1197"/>
        <w:ind w:firstLine="422"/>
        <w:spacing w:line="360" w:lineRule="auto"/>
        <w:tabs>
          <w:tab w:val="left" w:pos="360" w:leader="none"/>
          <w:tab w:val="left" w:pos="1080" w:leader="none"/>
        </w:tabs>
        <w:rPr>
          <w:rFonts w:hint="eastAsia" w:ascii="宋体" w:hAnsi="宋体" w:cs="宋体"/>
          <w:szCs w:val="21"/>
          <w:highlight w:val="none"/>
        </w:rPr>
      </w:pPr>
      <w:r>
        <w:rPr>
          <w:rFonts w:hint="eastAsia" w:ascii="宋体" w:hAnsi="宋体" w:cs="宋体"/>
          <w:b/>
          <w:bCs/>
          <w:szCs w:val="21"/>
          <w:highlight w:val="none"/>
        </w:rPr>
        <w:t xml:space="preserve">26.1成交供应商在签订合同前向代理机构提供正本1套、副本2套纸质响应文件，在每一份纸质响应文件上要明确注明“正本” 或“副本”字样。</w:t>
      </w:r>
      <w:r>
        <w:rPr>
          <w:rFonts w:hint="eastAsia" w:ascii="宋体" w:hAnsi="宋体" w:cs="宋体"/>
          <w:szCs w:val="21"/>
          <w:highlight w:val="none"/>
        </w:rPr>
      </w:r>
      <w:r/>
    </w:p>
    <w:p>
      <w:pPr>
        <w:pStyle w:val="1197"/>
        <w:ind w:firstLine="420"/>
        <w:spacing w:line="360" w:lineRule="auto"/>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t xml:space="preserve">26.2 纸质响应文件需与“苏采云”政府采购一体化平台的响应文件一致，成交供应商应按照要求签字、盖章，副本可通过正本复印。</w:t>
      </w:r>
      <w:r>
        <w:rPr>
          <w:rFonts w:hint="eastAsia" w:ascii="宋体" w:hAnsi="宋体" w:cs="宋体"/>
          <w:szCs w:val="21"/>
          <w:highlight w:val="none"/>
        </w:rPr>
      </w:r>
      <w:r/>
    </w:p>
    <w:p>
      <w:pPr>
        <w:pStyle w:val="1197"/>
        <w:ind w:firstLine="420"/>
        <w:spacing w:line="360" w:lineRule="auto"/>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t xml:space="preserve">26.3 磋商文件所表述（指定）的公章是指法定名称章，不包括合同专用章、业务专用章等印章；盖章是指加盖鲜章。</w:t>
      </w:r>
      <w:r>
        <w:rPr>
          <w:rFonts w:hint="eastAsia" w:ascii="宋体" w:hAnsi="宋体" w:cs="宋体"/>
          <w:szCs w:val="21"/>
          <w:highlight w:val="none"/>
        </w:rPr>
      </w:r>
      <w:r/>
    </w:p>
    <w:p>
      <w:pPr>
        <w:pStyle w:val="1197"/>
        <w:numPr>
          <w:ilvl w:val="0"/>
          <w:numId w:val="0"/>
        </w:numPr>
        <w:spacing w:line="360" w:lineRule="auto"/>
        <w:tabs>
          <w:tab w:val="left" w:pos="1080" w:leader="none"/>
          <w:tab w:val="left" w:pos="2014" w:leader="none"/>
        </w:tabs>
        <w:rPr>
          <w:rFonts w:hint="eastAsia" w:ascii="宋体" w:hAnsi="宋体" w:eastAsia="宋体" w:cs="宋体"/>
          <w:sz w:val="21"/>
          <w:szCs w:val="21"/>
          <w:highlight w:val="yellow"/>
        </w:rPr>
        <w:sectPr>
          <w:footerReference w:type="even" r:id="rId21"/>
          <w:footnotePr/>
          <w:endnotePr/>
          <w:type w:val="nextPage"/>
          <w:pgSz w:w="11907" w:h="16840" w:orient="portrait"/>
          <w:pgMar w:top="1440" w:right="1304" w:bottom="1440" w:left="1304" w:header="851" w:footer="851" w:gutter="0"/>
          <w:cols w:num="1" w:sep="0" w:space="1701" w:equalWidth="1"/>
          <w:docGrid w:linePitch="360"/>
        </w:sectPr>
      </w:pPr>
      <w:r>
        <w:rPr>
          <w:rFonts w:hint="eastAsia" w:ascii="宋体" w:hAnsi="宋体" w:eastAsia="宋体" w:cs="宋体"/>
          <w:sz w:val="21"/>
          <w:szCs w:val="21"/>
          <w:highlight w:val="yellow"/>
        </w:rPr>
      </w:r>
      <w:r/>
    </w:p>
    <w:p>
      <w:pPr>
        <w:pStyle w:val="1197"/>
        <w:jc w:val="center"/>
        <w:spacing w:line="360" w:lineRule="auto"/>
        <w:rPr>
          <w:rFonts w:ascii="Times New Roman" w:hAnsi="Times New Roman" w:eastAsia="宋体" w:cs="Times New Roman"/>
          <w:b/>
          <w:sz w:val="32"/>
          <w:szCs w:val="32"/>
          <w:highlight w:val="none"/>
        </w:rPr>
        <w:outlineLvl w:val="0"/>
      </w:pPr>
      <w:r/>
      <w:bookmarkStart w:id="590" w:name="_Toc104818927"/>
      <w:r>
        <w:rPr>
          <w:rFonts w:ascii="Times New Roman" w:hAnsi="Times New Roman" w:eastAsia="宋体" w:cs="Times New Roman"/>
          <w:b/>
          <w:sz w:val="32"/>
          <w:szCs w:val="32"/>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ascii="Times New Roman" w:hAnsi="Times New Roman" w:eastAsia="宋体" w:cs="Times New Roman"/>
          <w:b/>
          <w:sz w:val="32"/>
          <w:szCs w:val="32"/>
          <w:highlight w:val="none"/>
        </w:rPr>
        <w:t xml:space="preserve">评审</w:t>
      </w:r>
      <w:r>
        <w:rPr>
          <w:rFonts w:hint="eastAsia" w:ascii="Times New Roman" w:hAnsi="Times New Roman" w:eastAsia="宋体" w:cs="Times New Roman"/>
          <w:b/>
          <w:sz w:val="32"/>
          <w:szCs w:val="32"/>
          <w:highlight w:val="none"/>
        </w:rPr>
        <w:t xml:space="preserve">程序、评审</w:t>
      </w:r>
      <w:r>
        <w:rPr>
          <w:rFonts w:ascii="Times New Roman" w:hAnsi="Times New Roman" w:eastAsia="宋体" w:cs="Times New Roman"/>
          <w:b/>
          <w:sz w:val="32"/>
          <w:szCs w:val="32"/>
          <w:highlight w:val="none"/>
        </w:rPr>
        <w:t xml:space="preserve">方法和评审标准</w:t>
      </w:r>
      <w:bookmarkEnd w:id="590"/>
      <w:r/>
      <w:bookmarkStart w:id="591" w:name="_Toc487900382"/>
      <w:r>
        <w:rPr>
          <w:rFonts w:ascii="Times New Roman" w:hAnsi="Times New Roman" w:eastAsia="宋体" w:cs="Times New Roman"/>
          <w:b/>
          <w:sz w:val="32"/>
          <w:szCs w:val="32"/>
          <w:highlight w:val="none"/>
        </w:rPr>
      </w:r>
      <w:r/>
    </w:p>
    <w:p>
      <w:pPr>
        <w:pStyle w:val="1199"/>
        <w:spacing w:before="0" w:line="360" w:lineRule="auto"/>
        <w:rPr>
          <w:b w:val="0"/>
          <w:sz w:val="28"/>
          <w:szCs w:val="28"/>
        </w:rPr>
      </w:pPr>
      <w:r>
        <w:rPr>
          <w:rFonts w:ascii="Times New Roman" w:hAnsi="Times New Roman" w:eastAsia="宋体" w:cs="Times New Roman"/>
          <w:b/>
          <w:sz w:val="28"/>
          <w:szCs w:val="28"/>
        </w:rPr>
        <w:t xml:space="preserve">一、</w:t>
      </w:r>
      <w:r>
        <w:rPr>
          <w:rFonts w:hint="eastAsia" w:ascii="Times New Roman" w:hAnsi="Times New Roman" w:eastAsia="宋体" w:cs="Times New Roman"/>
          <w:b/>
          <w:sz w:val="28"/>
          <w:szCs w:val="28"/>
        </w:rPr>
        <w:t xml:space="preserve">评审</w:t>
      </w:r>
      <w:r>
        <w:rPr>
          <w:rFonts w:ascii="Times New Roman" w:hAnsi="Times New Roman" w:eastAsia="宋体" w:cs="Times New Roman"/>
          <w:b/>
          <w:sz w:val="28"/>
          <w:szCs w:val="28"/>
        </w:rPr>
        <w:t xml:space="preserve">程序</w:t>
      </w:r>
      <w:r>
        <w:rPr>
          <w:b w:val="0"/>
          <w:sz w:val="28"/>
          <w:szCs w:val="28"/>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50480779"/>
      <w:r/>
      <w:bookmarkStart w:id="593" w:name="_Toc195842906"/>
      <w:r/>
      <w:bookmarkStart w:id="594" w:name="_Toc305158809"/>
      <w:r/>
      <w:bookmarkStart w:id="595" w:name="_Toc305158883"/>
      <w:r/>
      <w:bookmarkStart w:id="596" w:name="_Toc127161455"/>
      <w:r/>
      <w:bookmarkStart w:id="597" w:name="_Toc226337237"/>
      <w:r/>
      <w:bookmarkStart w:id="598" w:name="_Toc127151541"/>
      <w:r/>
      <w:bookmarkStart w:id="599" w:name="_Toc164229236"/>
      <w:r/>
      <w:bookmarkStart w:id="600" w:name="_Toc149720834"/>
      <w:r/>
      <w:bookmarkStart w:id="601" w:name="_Toc151193929"/>
      <w:r/>
      <w:bookmarkStart w:id="602" w:name="_Toc142311043"/>
      <w:r/>
      <w:bookmarkStart w:id="603" w:name="_Toc226965814"/>
      <w:r/>
      <w:bookmarkStart w:id="604" w:name="_Toc151193639"/>
      <w:r/>
      <w:bookmarkStart w:id="605" w:name="_Toc164608655"/>
      <w:r/>
      <w:bookmarkStart w:id="606" w:name="_Toc127151742"/>
      <w:r/>
      <w:bookmarkStart w:id="607" w:name="_Toc264969231"/>
      <w:r/>
      <w:bookmarkStart w:id="608" w:name="_Toc164608810"/>
      <w:r/>
      <w:bookmarkStart w:id="609" w:name="_Toc265228379"/>
      <w:r/>
      <w:bookmarkStart w:id="610" w:name="_Toc226309785"/>
      <w:r/>
      <w:bookmarkStart w:id="611" w:name="_Toc150774746"/>
      <w:r/>
      <w:bookmarkStart w:id="612" w:name="_Toc150509292"/>
      <w:r/>
      <w:bookmarkStart w:id="613" w:name="_Toc151193855"/>
      <w:r/>
      <w:bookmarkStart w:id="614" w:name="_Toc151193783"/>
      <w:r/>
      <w:bookmarkStart w:id="615" w:name="_Toc164351635"/>
      <w:r/>
      <w:bookmarkStart w:id="616" w:name="_Toc151190168"/>
      <w:r/>
      <w:bookmarkStart w:id="617" w:name="_Toc164229382"/>
      <w:r/>
      <w:bookmarkStart w:id="618" w:name="_Toc151193711"/>
      <w:r/>
      <w:bookmarkStart w:id="619" w:name="_Toc226965731"/>
      <w:r/>
      <w:bookmarkStart w:id="620" w:name="_Toc150774641"/>
      <w:r/>
      <w:bookmarkStart w:id="621" w:name="_Toc353873935"/>
      <w:r/>
      <w:bookmarkStart w:id="622" w:name="_Toc353825551"/>
      <w:r/>
      <w:bookmarkStart w:id="623" w:name="_Toc353873941"/>
      <w:r/>
      <w:bookmarkStart w:id="624" w:name="_Toc305158823"/>
      <w:r/>
      <w:bookmarkStart w:id="625" w:name="_Toc142311057"/>
      <w:r/>
      <w:bookmarkStart w:id="626" w:name="_Toc305158897"/>
      <w:r/>
      <w:bookmarkStart w:id="627" w:name="_Toc353873665"/>
      <w:r/>
      <w:bookmarkStart w:id="628" w:name="_Toc150774760"/>
      <w:r/>
      <w:bookmarkStart w:id="629" w:name="_Toc226337251"/>
      <w:r/>
      <w:bookmarkStart w:id="630" w:name="_Toc127151555"/>
      <w:r/>
      <w:bookmarkStart w:id="631" w:name="_Toc353825545"/>
      <w:r/>
      <w:bookmarkStart w:id="632" w:name="_Toc150480793"/>
      <w:r/>
      <w:bookmarkStart w:id="633" w:name="_Toc226965828"/>
      <w:r/>
      <w:bookmarkStart w:id="634" w:name="_Toc264969245"/>
      <w:r/>
      <w:bookmarkStart w:id="635" w:name="_Toc195842920"/>
      <w:r/>
      <w:bookmarkStart w:id="636" w:name="_Toc265228393"/>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eastAsia="宋体" w:cs="宋体"/>
          <w:sz w:val="21"/>
          <w:szCs w:val="21"/>
        </w:rPr>
        <w:t xml:space="preserve">资格性检查和符合性审查</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 w:val="21"/>
          <w:szCs w:val="21"/>
        </w:rPr>
        <w:t xml:space="preserve">无效响应</w:t>
      </w:r>
      <w:r>
        <w:rPr>
          <w:rFonts w:hint="eastAsia" w:ascii="宋体" w:hAnsi="宋体" w:eastAsia="宋体" w:cs="宋体"/>
          <w:sz w:val="21"/>
          <w:szCs w:val="21"/>
        </w:rPr>
        <w:t xml:space="preserve">处理，磋商小组应当告知提交响应文件的供应商。</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《资格性检查要求》中对格式有要求的，除竞争性磋商文件另有规定外，均为“实质性格式”文件。</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《资格性检查要求》见下表：</w:t>
      </w:r>
      <w:r>
        <w:rPr>
          <w:rFonts w:hint="eastAsia" w:ascii="宋体" w:hAnsi="宋体" w:eastAsia="宋体" w:cs="宋体"/>
          <w:sz w:val="21"/>
          <w:szCs w:val="21"/>
        </w:rPr>
      </w:r>
      <w:r/>
    </w:p>
    <w:p>
      <w:pPr>
        <w:pStyle w:val="1197"/>
        <w:ind w:left="1077" w:firstLine="2319"/>
        <w:spacing w:line="360" w:lineRule="auto"/>
        <w:tabs>
          <w:tab w:val="left" w:pos="900" w:leader="none"/>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资格性检查要求</w:t>
      </w:r>
      <w:r>
        <w:rPr>
          <w:rFonts w:hint="eastAsia" w:ascii="宋体" w:hAnsi="宋体" w:eastAsia="宋体" w:cs="宋体"/>
          <w:b/>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942"/>
        <w:gridCol w:w="4836"/>
        <w:gridCol w:w="1809"/>
      </w:tblGrid>
      <w:tr>
        <w:trPr>
          <w:cantSplit/>
          <w:trHeight w:val="20"/>
          <w:tblHeader/>
        </w:trPr>
        <w:tc>
          <w:tcPr>
            <w:tcW w:w="377" w:type="dxa"/>
            <w:vAlign w:val="center"/>
            <w:textDirection w:val="lrTb"/>
            <w:noWrap w:val="false"/>
          </w:tcPr>
          <w:p>
            <w:pPr>
              <w:pStyle w:val="1197"/>
              <w:jc w:val="center"/>
              <w:tabs>
                <w:tab w:val="left" w:pos="1080" w:leader="none"/>
              </w:tabs>
              <w:rPr>
                <w:rFonts w:hint="eastAsia" w:ascii="宋体" w:hAnsi="宋体" w:eastAsia="宋体" w:cs="宋体"/>
                <w:b/>
                <w:sz w:val="21"/>
                <w:szCs w:val="21"/>
              </w:rPr>
            </w:pPr>
            <w:r/>
            <w:bookmarkStart w:id="637" w:name="_Hlt487972895"/>
            <w:r/>
            <w:bookmarkEnd w:id="637"/>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045" w:type="dxa"/>
            <w:vAlign w:val="center"/>
            <w:textDirection w:val="lrTb"/>
            <w:noWrap w:val="false"/>
          </w:tcPr>
          <w:p>
            <w:pPr>
              <w:pStyle w:val="1197"/>
              <w:jc w:val="center"/>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审查因素</w:t>
            </w:r>
            <w:r>
              <w:rPr>
                <w:rFonts w:hint="eastAsia" w:ascii="宋体" w:hAnsi="宋体" w:eastAsia="宋体" w:cs="宋体"/>
                <w:b/>
                <w:sz w:val="21"/>
                <w:szCs w:val="21"/>
              </w:rPr>
            </w:r>
            <w:r/>
          </w:p>
        </w:tc>
        <w:tc>
          <w:tcPr>
            <w:tcW w:w="2603" w:type="dxa"/>
            <w:vAlign w:val="center"/>
            <w:textDirection w:val="lrTb"/>
            <w:noWrap w:val="false"/>
          </w:tcPr>
          <w:p>
            <w:pPr>
              <w:pStyle w:val="1197"/>
              <w:jc w:val="center"/>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审查内容</w:t>
            </w:r>
            <w:r>
              <w:rPr>
                <w:rFonts w:hint="eastAsia" w:ascii="宋体" w:hAnsi="宋体" w:eastAsia="宋体" w:cs="宋体"/>
                <w:b/>
                <w:sz w:val="21"/>
                <w:szCs w:val="21"/>
              </w:rPr>
            </w:r>
            <w:r/>
          </w:p>
        </w:tc>
        <w:tc>
          <w:tcPr>
            <w:tcW w:w="973" w:type="dxa"/>
            <w:vAlign w:val="center"/>
            <w:textDirection w:val="lrTb"/>
            <w:noWrap w:val="false"/>
          </w:tcPr>
          <w:p>
            <w:pPr>
              <w:pStyle w:val="1197"/>
              <w:jc w:val="center"/>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格式要求</w:t>
            </w:r>
            <w:r>
              <w:rPr>
                <w:rFonts w:hint="eastAsia" w:ascii="宋体" w:hAnsi="宋体" w:eastAsia="宋体" w:cs="宋体"/>
                <w:b/>
                <w:sz w:val="21"/>
                <w:szCs w:val="21"/>
              </w:rPr>
            </w:r>
            <w:r/>
          </w:p>
        </w:tc>
      </w:tr>
      <w:tr>
        <w:trPr>
          <w:cantSplit/>
          <w:trHeight w:val="1493"/>
        </w:trPr>
        <w:tc>
          <w:tcPr>
            <w:tcW w:w="377" w:type="dxa"/>
            <w:vAlign w:val="center"/>
            <w:textDirection w:val="lrTb"/>
            <w:noWrap w:val="false"/>
          </w:tcPr>
          <w:p>
            <w:pPr>
              <w:pStyle w:val="1197"/>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045" w:type="dxa"/>
            <w:vAlign w:val="center"/>
            <w:textDirection w:val="lrTb"/>
            <w:noWrap w:val="false"/>
          </w:tcPr>
          <w:p>
            <w:pPr>
              <w:pStyle w:val="1197"/>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满足《中华人民共和国政府采购法》第二十二条规定及法律法规的其他规定</w:t>
            </w:r>
            <w:r>
              <w:rPr>
                <w:rFonts w:hint="eastAsia" w:ascii="宋体" w:hAnsi="宋体" w:eastAsia="宋体" w:cs="宋体"/>
                <w:sz w:val="21"/>
                <w:szCs w:val="21"/>
              </w:rPr>
            </w:r>
            <w:r/>
          </w:p>
        </w:tc>
        <w:tc>
          <w:tcPr>
            <w:tcW w:w="2603" w:type="dxa"/>
            <w:vAlign w:val="center"/>
            <w:textDirection w:val="lrTb"/>
            <w:noWrap w:val="false"/>
          </w:tcPr>
          <w:p>
            <w:pPr>
              <w:pStyle w:val="1197"/>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具体规定见第一章《采购邀请》</w:t>
            </w:r>
            <w:r>
              <w:rPr>
                <w:rFonts w:hint="eastAsia" w:ascii="宋体" w:hAnsi="宋体" w:eastAsia="宋体" w:cs="宋体"/>
                <w:sz w:val="21"/>
                <w:szCs w:val="21"/>
              </w:rPr>
            </w:r>
            <w:r/>
          </w:p>
        </w:tc>
        <w:tc>
          <w:tcPr>
            <w:tcW w:w="973" w:type="dxa"/>
            <w:vAlign w:val="center"/>
            <w:textDirection w:val="lrTb"/>
            <w:noWrap w:val="false"/>
          </w:tcPr>
          <w:p>
            <w:pPr>
              <w:pStyle w:val="1197"/>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468"/>
        </w:trPr>
        <w:tc>
          <w:tcPr>
            <w:tcW w:w="377" w:type="dxa"/>
            <w:vAlign w:val="center"/>
            <w:textDirection w:val="lrTb"/>
            <w:noWrap w:val="false"/>
          </w:tcPr>
          <w:p>
            <w:pPr>
              <w:pStyle w:val="1197"/>
              <w:jc w:val="center"/>
              <w:tabs>
                <w:tab w:val="left" w:pos="1080" w:leader="none"/>
              </w:tabs>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ascii="宋体" w:hAnsi="宋体" w:eastAsia="宋体" w:cs="宋体"/>
                <w:sz w:val="21"/>
                <w:szCs w:val="21"/>
                <w:highlight w:val="none"/>
                <w:lang w:val="en-US" w:eastAsia="zh-CN"/>
              </w:rPr>
            </w:r>
            <w:r/>
          </w:p>
        </w:tc>
        <w:tc>
          <w:tcPr>
            <w:tcW w:w="1045" w:type="dxa"/>
            <w:vAlign w:val="center"/>
            <w:textDirection w:val="lrTb"/>
            <w:noWrap w:val="false"/>
          </w:tcPr>
          <w:p>
            <w:pPr>
              <w:pStyle w:val="1197"/>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供应商营业执照</w:t>
            </w:r>
            <w:r>
              <w:rPr>
                <w:rFonts w:hint="eastAsia" w:ascii="宋体" w:hAnsi="宋体" w:eastAsia="宋体" w:cs="宋体"/>
                <w:sz w:val="21"/>
                <w:szCs w:val="21"/>
                <w:highlight w:val="none"/>
              </w:rPr>
            </w:r>
            <w:r/>
          </w:p>
        </w:tc>
        <w:tc>
          <w:tcPr>
            <w:tcW w:w="2603" w:type="dxa"/>
            <w:vAlign w:val="center"/>
            <w:textDirection w:val="lrTb"/>
            <w:noWrap w:val="false"/>
          </w:tcPr>
          <w:p>
            <w:pPr>
              <w:pStyle w:val="1197"/>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有效的法人或者其他组织的营业执照等证明文件</w:t>
            </w:r>
            <w:r>
              <w:rPr>
                <w:rFonts w:hint="eastAsia" w:ascii="宋体" w:hAnsi="宋体" w:eastAsia="宋体" w:cs="宋体"/>
                <w:sz w:val="21"/>
                <w:szCs w:val="21"/>
                <w:highlight w:val="none"/>
              </w:rPr>
            </w:r>
            <w:r/>
          </w:p>
        </w:tc>
        <w:tc>
          <w:tcPr>
            <w:tcW w:w="973" w:type="dxa"/>
            <w:vAlign w:val="center"/>
            <w:textDirection w:val="lrTb"/>
            <w:noWrap w:val="false"/>
          </w:tcPr>
          <w:p>
            <w:pPr>
              <w:pStyle w:val="1197"/>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提供证明文件的电子件或电子证照</w:t>
            </w:r>
            <w:r>
              <w:rPr>
                <w:rFonts w:hint="eastAsia" w:ascii="宋体" w:hAnsi="宋体" w:eastAsia="宋体" w:cs="宋体"/>
                <w:sz w:val="21"/>
                <w:szCs w:val="21"/>
                <w:highlight w:val="none"/>
              </w:rPr>
            </w:r>
            <w:r/>
          </w:p>
        </w:tc>
      </w:tr>
      <w:tr>
        <w:trPr>
          <w:cantSplit/>
          <w:trHeight w:val="468"/>
        </w:trPr>
        <w:tc>
          <w:tcPr>
            <w:tcW w:w="377" w:type="dxa"/>
            <w:vAlign w:val="center"/>
            <w:textDirection w:val="lrTb"/>
            <w:noWrap w:val="false"/>
          </w:tcPr>
          <w:p>
            <w:pPr>
              <w:pStyle w:val="1197"/>
              <w:jc w:val="center"/>
              <w:tabs>
                <w:tab w:val="left" w:pos="108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r>
            <w:r/>
          </w:p>
        </w:tc>
        <w:tc>
          <w:tcPr>
            <w:tcW w:w="1045" w:type="dxa"/>
            <w:vAlign w:val="center"/>
            <w:textDirection w:val="lrTb"/>
            <w:noWrap w:val="false"/>
          </w:tcPr>
          <w:p>
            <w:pPr>
              <w:pStyle w:val="1197"/>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供应商资格声明函</w:t>
            </w:r>
            <w:r>
              <w:rPr>
                <w:rFonts w:hint="eastAsia" w:ascii="宋体" w:hAnsi="宋体" w:eastAsia="宋体" w:cs="宋体"/>
                <w:sz w:val="21"/>
                <w:szCs w:val="21"/>
                <w:highlight w:val="none"/>
              </w:rPr>
            </w:r>
            <w:r/>
          </w:p>
        </w:tc>
        <w:tc>
          <w:tcPr>
            <w:tcW w:w="2603" w:type="dxa"/>
            <w:vAlign w:val="center"/>
            <w:textDirection w:val="lrTb"/>
            <w:noWrap w:val="false"/>
          </w:tcPr>
          <w:p>
            <w:pPr>
              <w:pStyle w:val="1197"/>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提供了符合采购文件要求的《供应商资格声明函》。</w:t>
            </w:r>
            <w:r>
              <w:rPr>
                <w:rFonts w:hint="eastAsia" w:ascii="宋体" w:hAnsi="宋体" w:eastAsia="宋体" w:cs="宋体"/>
                <w:sz w:val="21"/>
                <w:szCs w:val="21"/>
                <w:highlight w:val="none"/>
              </w:rPr>
            </w:r>
            <w:r/>
          </w:p>
        </w:tc>
        <w:tc>
          <w:tcPr>
            <w:tcW w:w="973" w:type="dxa"/>
            <w:vAlign w:val="center"/>
            <w:textDirection w:val="lrTb"/>
            <w:noWrap w:val="false"/>
          </w:tcPr>
          <w:p>
            <w:pPr>
              <w:pStyle w:val="1197"/>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格式见《响应文件格式》</w:t>
            </w:r>
            <w:r>
              <w:rPr>
                <w:rFonts w:hint="eastAsia" w:ascii="宋体" w:hAnsi="宋体" w:eastAsia="宋体" w:cs="宋体"/>
                <w:sz w:val="21"/>
                <w:szCs w:val="21"/>
              </w:rPr>
            </w:r>
            <w:r/>
          </w:p>
        </w:tc>
      </w:tr>
      <w:tr>
        <w:trPr>
          <w:cantSplit/>
          <w:trHeight w:val="20"/>
        </w:trPr>
        <w:tc>
          <w:tcPr>
            <w:tcW w:w="377" w:type="dxa"/>
            <w:vAlign w:val="center"/>
            <w:textDirection w:val="lrTb"/>
            <w:noWrap w:val="false"/>
          </w:tcPr>
          <w:p>
            <w:pPr>
              <w:pStyle w:val="1197"/>
              <w:jc w:val="center"/>
              <w:tabs>
                <w:tab w:val="left" w:pos="108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W w:w="1045" w:type="dxa"/>
            <w:vAlign w:val="center"/>
            <w:textDirection w:val="lrTb"/>
            <w:noWrap w:val="false"/>
          </w:tcPr>
          <w:p>
            <w:pPr>
              <w:pStyle w:val="1197"/>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供应商信用记录</w:t>
            </w:r>
            <w:r>
              <w:rPr>
                <w:rFonts w:hint="eastAsia" w:ascii="宋体" w:hAnsi="宋体" w:eastAsia="宋体" w:cs="宋体"/>
                <w:sz w:val="21"/>
                <w:szCs w:val="21"/>
                <w:highlight w:val="none"/>
              </w:rPr>
            </w:r>
            <w:r/>
          </w:p>
        </w:tc>
        <w:tc>
          <w:tcPr>
            <w:tcW w:w="2603" w:type="dxa"/>
            <w:vAlign w:val="center"/>
            <w:textDirection w:val="lrTb"/>
            <w:noWrap w:val="false"/>
          </w:tcPr>
          <w:p>
            <w:pPr>
              <w:pStyle w:val="1197"/>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查询渠道：信用中国网站和中国政府采购网（www.creditchina.gov.cn、www.ccgp.gov.cn）；</w:t>
            </w:r>
            <w:r>
              <w:rPr>
                <w:rFonts w:hint="eastAsia" w:ascii="宋体" w:hAnsi="宋体" w:eastAsia="宋体" w:cs="宋体"/>
                <w:sz w:val="21"/>
                <w:szCs w:val="21"/>
                <w:highlight w:val="none"/>
              </w:rPr>
            </w:r>
            <w:r/>
          </w:p>
          <w:p>
            <w:pPr>
              <w:pStyle w:val="1197"/>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截止时点：提交响应文件截止时间以后、资格审查阶段采购人或采购代理机构的实际查询时间；</w:t>
            </w:r>
            <w:r>
              <w:rPr>
                <w:rFonts w:hint="eastAsia" w:ascii="宋体" w:hAnsi="宋体" w:eastAsia="宋体" w:cs="宋体"/>
                <w:sz w:val="21"/>
                <w:szCs w:val="21"/>
                <w:highlight w:val="none"/>
              </w:rPr>
            </w:r>
            <w:r/>
          </w:p>
          <w:p>
            <w:pPr>
              <w:pStyle w:val="1197"/>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信用信息查询记录和证据留存具体方式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查询结果网页打印页作为查询记录和证据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与其他采购文件一并保存；</w:t>
            </w:r>
            <w:r>
              <w:rPr>
                <w:rFonts w:hint="eastAsia" w:ascii="宋体" w:hAnsi="宋体" w:eastAsia="宋体" w:cs="宋体"/>
                <w:sz w:val="21"/>
                <w:szCs w:val="21"/>
                <w:highlight w:val="none"/>
              </w:rPr>
            </w:r>
            <w:r/>
          </w:p>
          <w:p>
            <w:pPr>
              <w:pStyle w:val="1197"/>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。联合体形式响应的，联合体成员存在不良信用记录，视同联合体存在不良信用记录。</w:t>
            </w:r>
            <w:r>
              <w:rPr>
                <w:rFonts w:hint="eastAsia" w:ascii="宋体" w:hAnsi="宋体" w:eastAsia="宋体" w:cs="宋体"/>
                <w:sz w:val="21"/>
                <w:szCs w:val="21"/>
                <w:highlight w:val="none"/>
              </w:rPr>
            </w:r>
            <w:r/>
          </w:p>
        </w:tc>
        <w:tc>
          <w:tcPr>
            <w:tcW w:w="973" w:type="dxa"/>
            <w:vAlign w:val="center"/>
            <w:textDirection w:val="lrTb"/>
            <w:noWrap w:val="false"/>
          </w:tcPr>
          <w:p>
            <w:pPr>
              <w:pStyle w:val="1197"/>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无须供应商提供，由采购人查询。</w:t>
            </w:r>
            <w:r>
              <w:rPr>
                <w:rFonts w:hint="eastAsia" w:ascii="宋体" w:hAnsi="宋体" w:eastAsia="宋体" w:cs="宋体"/>
                <w:sz w:val="21"/>
                <w:szCs w:val="21"/>
              </w:rPr>
            </w:r>
            <w:r/>
          </w:p>
        </w:tc>
      </w:tr>
      <w:tr>
        <w:trPr>
          <w:cantSplit/>
          <w:trHeight w:val="20"/>
        </w:trPr>
        <w:tc>
          <w:tcPr>
            <w:tcW w:w="377" w:type="dxa"/>
            <w:vAlign w:val="center"/>
            <w:textDirection w:val="lrTb"/>
            <w:noWrap w:val="false"/>
          </w:tcPr>
          <w:p>
            <w:pPr>
              <w:pStyle w:val="1197"/>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045" w:type="dxa"/>
            <w:vAlign w:val="center"/>
            <w:textDirection w:val="lrTb"/>
            <w:noWrap w:val="false"/>
          </w:tcPr>
          <w:p>
            <w:pPr>
              <w:pStyle w:val="1197"/>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落实政府采购政策需满足的资格要求</w:t>
            </w:r>
            <w:r>
              <w:rPr>
                <w:rFonts w:hint="eastAsia" w:ascii="宋体" w:hAnsi="宋体" w:eastAsia="宋体" w:cs="宋体"/>
                <w:sz w:val="21"/>
                <w:szCs w:val="21"/>
              </w:rPr>
            </w:r>
            <w:r/>
          </w:p>
        </w:tc>
        <w:tc>
          <w:tcPr>
            <w:tcW w:w="2603" w:type="dxa"/>
            <w:vAlign w:val="center"/>
            <w:textDirection w:val="lrTb"/>
            <w:noWrap w:val="false"/>
          </w:tcPr>
          <w:p>
            <w:pPr>
              <w:pStyle w:val="1197"/>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具体要求见第一章《采购邀请》</w:t>
            </w:r>
            <w:r>
              <w:rPr>
                <w:rFonts w:hint="eastAsia" w:ascii="宋体" w:hAnsi="宋体" w:eastAsia="宋体" w:cs="宋体"/>
                <w:sz w:val="21"/>
                <w:szCs w:val="21"/>
              </w:rPr>
            </w:r>
            <w:r/>
          </w:p>
        </w:tc>
        <w:tc>
          <w:tcPr>
            <w:tcW w:w="973" w:type="dxa"/>
            <w:vAlign w:val="center"/>
            <w:textDirection w:val="lrTb"/>
            <w:noWrap w:val="false"/>
          </w:tcPr>
          <w:p>
            <w:pPr>
              <w:pStyle w:val="1197"/>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606"/>
        </w:trPr>
        <w:tc>
          <w:tcPr>
            <w:tcW w:w="377" w:type="dxa"/>
            <w:vAlign w:val="center"/>
            <w:textDirection w:val="lrTb"/>
            <w:noWrap w:val="false"/>
          </w:tcPr>
          <w:p>
            <w:pPr>
              <w:pStyle w:val="1197"/>
              <w:jc w:val="center"/>
              <w:tabs>
                <w:tab w:val="left" w:pos="108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lang w:val="en-US" w:eastAsia="zh-CN" w:bidi="ar-SA"/>
              </w:rPr>
            </w:r>
            <w:r/>
          </w:p>
        </w:tc>
        <w:tc>
          <w:tcPr>
            <w:tcW w:w="1045" w:type="dxa"/>
            <w:vAlign w:val="center"/>
            <w:textDirection w:val="lrTb"/>
            <w:noWrap w:val="false"/>
          </w:tcPr>
          <w:p>
            <w:pPr>
              <w:pStyle w:val="1197"/>
              <w:jc w:val="center"/>
              <w:tabs>
                <w:tab w:val="left" w:pos="108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中小企业声明函</w:t>
            </w:r>
            <w:r>
              <w:rPr>
                <w:rFonts w:hint="eastAsia" w:ascii="宋体" w:hAnsi="宋体" w:eastAsia="宋体" w:cs="宋体"/>
                <w:sz w:val="21"/>
                <w:szCs w:val="21"/>
                <w:highlight w:val="none"/>
                <w:lang w:val="en-US" w:eastAsia="zh-CN" w:bidi="ar-SA"/>
              </w:rPr>
            </w:r>
            <w:r/>
          </w:p>
        </w:tc>
        <w:tc>
          <w:tcPr>
            <w:tcW w:w="2603" w:type="dxa"/>
            <w:vAlign w:val="center"/>
            <w:textDirection w:val="lrTb"/>
            <w:noWrap w:val="false"/>
          </w:tcPr>
          <w:p>
            <w:pPr>
              <w:pStyle w:val="1197"/>
              <w:jc w:val="left"/>
              <w:tabs>
                <w:tab w:val="left" w:pos="10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如本项目（包）是专门面向中小企业采购的，必须提供，否则无须提供。</w:t>
            </w:r>
            <w:r>
              <w:rPr>
                <w:rFonts w:hint="eastAsia" w:ascii="宋体" w:hAnsi="宋体" w:eastAsia="宋体" w:cs="宋体"/>
                <w:b/>
                <w:bCs/>
                <w:sz w:val="21"/>
                <w:szCs w:val="21"/>
                <w:highlight w:val="none"/>
              </w:rPr>
            </w:r>
            <w:r/>
          </w:p>
          <w:p>
            <w:pPr>
              <w:pStyle w:val="1197"/>
              <w:jc w:val="left"/>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1、供应商单独参与磋商的，应提供中小企业声明函；如为监狱企业或残疾人福利性单位，不必提供中小企业声明函，但须按注1或注2要求提供证明材料。</w:t>
            </w:r>
            <w:r>
              <w:rPr>
                <w:rFonts w:hint="eastAsia" w:ascii="宋体" w:hAnsi="宋体" w:eastAsia="宋体" w:cs="宋体"/>
                <w:sz w:val="21"/>
                <w:szCs w:val="21"/>
                <w:highlight w:val="none"/>
              </w:rPr>
            </w:r>
            <w:r/>
          </w:p>
          <w:p>
            <w:pPr>
              <w:pStyle w:val="1197"/>
              <w:jc w:val="left"/>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 w:val="21"/>
                <w:szCs w:val="21"/>
                <w:highlight w:val="none"/>
              </w:rPr>
            </w:r>
            <w:r/>
          </w:p>
          <w:p>
            <w:pPr>
              <w:pStyle w:val="1197"/>
              <w:jc w:val="left"/>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注1：监狱企业须提供由省级以上监狱管理局、戒毒管理局（含新疆生产建设兵团）出具的属于监狱企业的证明文件。</w:t>
            </w:r>
            <w:r>
              <w:rPr>
                <w:rFonts w:hint="eastAsia" w:ascii="宋体" w:hAnsi="宋体" w:eastAsia="宋体" w:cs="宋体"/>
                <w:sz w:val="21"/>
                <w:szCs w:val="21"/>
                <w:highlight w:val="none"/>
              </w:rPr>
            </w:r>
            <w:r/>
          </w:p>
          <w:p>
            <w:pPr>
              <w:pStyle w:val="1197"/>
              <w:jc w:val="left"/>
              <w:tabs>
                <w:tab w:val="left" w:pos="108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注2：残疾人福利性单位须按磋商文件要求提供《残疾人福利性单位声明函》。</w:t>
            </w:r>
            <w:r>
              <w:rPr>
                <w:rFonts w:hint="eastAsia" w:ascii="宋体" w:hAnsi="宋体" w:eastAsia="宋体" w:cs="宋体"/>
                <w:sz w:val="21"/>
                <w:szCs w:val="21"/>
                <w:highlight w:val="none"/>
                <w:lang w:val="en-US" w:eastAsia="zh-CN" w:bidi="ar-SA"/>
              </w:rPr>
            </w:r>
            <w:r/>
          </w:p>
        </w:tc>
        <w:tc>
          <w:tcPr>
            <w:tcW w:w="973" w:type="dxa"/>
            <w:vAlign w:val="center"/>
            <w:textDirection w:val="lrTb"/>
            <w:noWrap w:val="false"/>
          </w:tcPr>
          <w:p>
            <w:pPr>
              <w:pStyle w:val="1197"/>
              <w:tabs>
                <w:tab w:val="left" w:pos="1080" w:leader="none"/>
              </w:tabs>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格式见《响应文件格式》</w:t>
            </w:r>
            <w:r>
              <w:rPr>
                <w:rFonts w:ascii="宋体" w:hAnsi="宋体" w:eastAsia="宋体" w:cs="宋体"/>
                <w:sz w:val="21"/>
                <w:szCs w:val="21"/>
                <w:highlight w:val="none"/>
                <w:lang w:val="en-US" w:eastAsia="zh-CN" w:bidi="ar-SA"/>
              </w:rPr>
            </w:r>
            <w:r/>
          </w:p>
        </w:tc>
      </w:tr>
      <w:tr>
        <w:trPr>
          <w:cantSplit/>
          <w:trHeight w:val="606"/>
        </w:trPr>
        <w:tc>
          <w:tcPr>
            <w:tcW w:w="377" w:type="dxa"/>
            <w:vAlign w:val="center"/>
            <w:textDirection w:val="lrTb"/>
            <w:noWrap w:val="false"/>
          </w:tcPr>
          <w:p>
            <w:pPr>
              <w:pStyle w:val="1197"/>
              <w:jc w:val="center"/>
              <w:tabs>
                <w:tab w:val="left" w:pos="108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r>
            <w:r/>
          </w:p>
        </w:tc>
        <w:tc>
          <w:tcPr>
            <w:tcW w:w="1045" w:type="dxa"/>
            <w:vAlign w:val="center"/>
            <w:textDirection w:val="lrTb"/>
            <w:noWrap w:val="false"/>
          </w:tcPr>
          <w:p>
            <w:pPr>
              <w:pStyle w:val="1197"/>
              <w:jc w:val="left"/>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其它落实政府采购政策的资格要求</w:t>
            </w:r>
            <w:r>
              <w:rPr>
                <w:rFonts w:hint="eastAsia" w:ascii="宋体" w:hAnsi="宋体" w:eastAsia="宋体" w:cs="宋体"/>
                <w:sz w:val="21"/>
                <w:szCs w:val="21"/>
              </w:rPr>
            </w:r>
            <w:r/>
          </w:p>
        </w:tc>
        <w:tc>
          <w:tcPr>
            <w:tcW w:w="2603" w:type="dxa"/>
            <w:vAlign w:val="center"/>
            <w:textDirection w:val="lrTb"/>
            <w:noWrap w:val="false"/>
          </w:tcPr>
          <w:p>
            <w:pPr>
              <w:pStyle w:val="1197"/>
              <w:jc w:val="left"/>
              <w:tabs>
                <w:tab w:val="left" w:pos="108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如有，见第一章《采购邀请》</w:t>
            </w:r>
            <w:r>
              <w:rPr>
                <w:rFonts w:hint="eastAsia" w:ascii="宋体" w:hAnsi="宋体" w:eastAsia="宋体" w:cs="宋体"/>
                <w:sz w:val="21"/>
                <w:szCs w:val="21"/>
                <w:lang w:eastAsia="zh-CN"/>
              </w:rPr>
            </w:r>
            <w:r/>
          </w:p>
        </w:tc>
        <w:tc>
          <w:tcPr>
            <w:tcW w:w="973" w:type="dxa"/>
            <w:vAlign w:val="center"/>
            <w:textDirection w:val="lrTb"/>
            <w:noWrap w:val="false"/>
          </w:tcPr>
          <w:p>
            <w:pPr>
              <w:pStyle w:val="1197"/>
              <w:jc w:val="left"/>
              <w:tabs>
                <w:tab w:val="left" w:pos="1080" w:leader="none"/>
              </w:tabs>
              <w:rPr>
                <w:rFonts w:ascii="宋体" w:hAnsi="宋体" w:eastAsia="宋体" w:cs="宋体"/>
                <w:sz w:val="21"/>
                <w:szCs w:val="21"/>
                <w:lang w:val="en-US" w:eastAsia="zh-CN"/>
              </w:rPr>
            </w:pPr>
            <w:r>
              <w:rPr>
                <w:rFonts w:ascii="宋体" w:hAnsi="宋体" w:eastAsia="宋体" w:cs="宋体"/>
                <w:sz w:val="21"/>
                <w:szCs w:val="21"/>
                <w:lang w:val="en-US" w:eastAsia="zh-CN"/>
              </w:rPr>
              <w:t xml:space="preserve">提供证明文件的电子件或电子证照</w:t>
            </w:r>
            <w:r>
              <w:rPr>
                <w:rFonts w:ascii="宋体" w:hAnsi="宋体" w:eastAsia="宋体" w:cs="宋体"/>
                <w:sz w:val="21"/>
                <w:szCs w:val="21"/>
                <w:lang w:val="en-US" w:eastAsia="zh-CN"/>
              </w:rPr>
            </w:r>
            <w:r/>
          </w:p>
        </w:tc>
      </w:tr>
      <w:tr>
        <w:trPr>
          <w:cantSplit/>
          <w:trHeight w:val="690"/>
        </w:trPr>
        <w:tc>
          <w:tcPr>
            <w:tcW w:w="377" w:type="dxa"/>
            <w:vAlign w:val="center"/>
            <w:textDirection w:val="lrTb"/>
            <w:noWrap w:val="false"/>
          </w:tcPr>
          <w:p>
            <w:pPr>
              <w:pStyle w:val="1197"/>
              <w:jc w:val="center"/>
              <w:tabs>
                <w:tab w:val="left" w:pos="1080" w:leader="none"/>
              </w:tabs>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rPr>
            </w:r>
            <w:r/>
          </w:p>
        </w:tc>
        <w:tc>
          <w:tcPr>
            <w:tcW w:w="1045" w:type="dxa"/>
            <w:vAlign w:val="center"/>
            <w:textDirection w:val="lrTb"/>
            <w:noWrap w:val="false"/>
          </w:tcPr>
          <w:p>
            <w:pPr>
              <w:pStyle w:val="1197"/>
              <w:tabs>
                <w:tab w:val="left" w:pos="1080" w:leader="none"/>
              </w:tabs>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本项目的特定资格要求</w:t>
            </w:r>
            <w:r>
              <w:rPr>
                <w:rFonts w:hint="eastAsia" w:ascii="宋体" w:hAnsi="宋体" w:eastAsia="宋体" w:cs="宋体"/>
                <w:b w:val="0"/>
                <w:bCs w:val="0"/>
                <w:sz w:val="21"/>
                <w:szCs w:val="21"/>
                <w:highlight w:val="none"/>
              </w:rPr>
            </w:r>
            <w:r/>
          </w:p>
        </w:tc>
        <w:tc>
          <w:tcPr>
            <w:tcW w:w="2603" w:type="dxa"/>
            <w:vAlign w:val="center"/>
            <w:textDirection w:val="lrTb"/>
            <w:noWrap w:val="false"/>
          </w:tcPr>
          <w:p>
            <w:pPr>
              <w:pStyle w:val="1197"/>
              <w:tabs>
                <w:tab w:val="left" w:pos="1080" w:leader="none"/>
              </w:tabs>
              <w:rPr>
                <w:rFonts w:hint="eastAsia" w:ascii="宋体" w:hAnsi="宋体" w:eastAsia="宋体" w:cs="宋体"/>
                <w:b/>
                <w:bCs/>
                <w:sz w:val="21"/>
                <w:szCs w:val="21"/>
                <w:highlight w:val="none"/>
                <w:lang w:eastAsia="zh-CN"/>
              </w:rPr>
            </w:pPr>
            <w:r>
              <w:rPr>
                <w:rFonts w:hint="eastAsia" w:ascii="宋体" w:hAnsi="宋体" w:eastAsia="宋体" w:cs="宋体"/>
                <w:sz w:val="21"/>
                <w:szCs w:val="21"/>
              </w:rPr>
              <w:t xml:space="preserve">见第一章《采购邀请》</w:t>
            </w:r>
            <w:r>
              <w:rPr>
                <w:rFonts w:hint="eastAsia" w:ascii="宋体" w:hAnsi="宋体" w:eastAsia="宋体" w:cs="宋体"/>
                <w:b/>
                <w:bCs/>
                <w:sz w:val="21"/>
                <w:szCs w:val="21"/>
                <w:highlight w:val="none"/>
                <w:lang w:eastAsia="zh-CN"/>
              </w:rPr>
            </w:r>
            <w:r/>
          </w:p>
        </w:tc>
        <w:tc>
          <w:tcPr>
            <w:tcW w:w="973" w:type="dxa"/>
            <w:vAlign w:val="center"/>
            <w:textDirection w:val="lrTb"/>
            <w:noWrap w:val="false"/>
          </w:tcPr>
          <w:p>
            <w:pPr>
              <w:pStyle w:val="1197"/>
              <w:tabs>
                <w:tab w:val="left" w:pos="1080" w:leader="none"/>
              </w:tabs>
              <w:rPr>
                <w:rFonts w:hint="eastAsia" w:ascii="宋体" w:hAnsi="宋体" w:eastAsia="宋体" w:cs="宋体"/>
                <w:b/>
                <w:bCs/>
                <w:sz w:val="21"/>
                <w:szCs w:val="21"/>
              </w:rPr>
            </w:pPr>
            <w:r>
              <w:rPr>
                <w:rFonts w:hint="eastAsia" w:ascii="宋体" w:hAnsi="宋体" w:eastAsia="宋体" w:cs="宋体"/>
                <w:b/>
                <w:bCs/>
                <w:sz w:val="21"/>
                <w:szCs w:val="21"/>
              </w:rPr>
            </w:r>
            <w:r/>
          </w:p>
        </w:tc>
      </w:tr>
      <w:tr>
        <w:trPr>
          <w:cantSplit/>
          <w:trHeight w:val="572"/>
        </w:trPr>
        <w:tc>
          <w:tcPr>
            <w:tcW w:w="377" w:type="dxa"/>
            <w:vAlign w:val="center"/>
            <w:textDirection w:val="lrTb"/>
            <w:noWrap w:val="false"/>
          </w:tcPr>
          <w:p>
            <w:pPr>
              <w:pStyle w:val="1197"/>
              <w:jc w:val="center"/>
              <w:tabs>
                <w:tab w:val="left" w:pos="1080"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val="en-US" w:eastAsia="zh-CN" w:bidi="ar-SA"/>
              </w:rPr>
            </w:r>
            <w:r/>
          </w:p>
        </w:tc>
        <w:tc>
          <w:tcPr>
            <w:tcW w:w="1045" w:type="dxa"/>
            <w:vAlign w:val="center"/>
            <w:textDirection w:val="lrTb"/>
            <w:noWrap w:val="false"/>
          </w:tcPr>
          <w:p>
            <w:pPr>
              <w:pStyle w:val="1197"/>
              <w:tabs>
                <w:tab w:val="left" w:pos="1080"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其他特定资格要求</w:t>
            </w:r>
            <w:r>
              <w:rPr>
                <w:rFonts w:hint="eastAsia" w:ascii="宋体" w:hAnsi="宋体" w:eastAsia="宋体" w:cs="宋体"/>
                <w:b w:val="0"/>
                <w:bCs w:val="0"/>
                <w:color w:val="000000"/>
                <w:sz w:val="21"/>
                <w:szCs w:val="21"/>
                <w:highlight w:val="none"/>
                <w:lang w:val="en-US" w:eastAsia="zh-CN" w:bidi="ar-SA"/>
              </w:rPr>
            </w:r>
            <w:r/>
          </w:p>
        </w:tc>
        <w:tc>
          <w:tcPr>
            <w:tcW w:w="2603" w:type="dxa"/>
            <w:vAlign w:val="center"/>
            <w:textDirection w:val="lrTb"/>
            <w:noWrap w:val="false"/>
          </w:tcPr>
          <w:p>
            <w:pPr>
              <w:pStyle w:val="1197"/>
              <w:jc w:val="center"/>
              <w:spacing w:line="240" w:lineRule="auto"/>
              <w:tabs>
                <w:tab w:val="left" w:pos="900" w:leader="none"/>
                <w:tab w:val="left" w:pos="1134" w:leader="none"/>
                <w:tab w:val="left" w:pos="1589" w:leader="none"/>
                <w:tab w:val="left" w:pos="5521" w:leader="none"/>
              </w:tabs>
              <w:rPr>
                <w:rFonts w:ascii="宋体" w:hAnsi="宋体" w:eastAsia="宋体" w:cs="宋体"/>
                <w:b w:val="0"/>
                <w:bCs w:val="0"/>
                <w:color w:val="000000"/>
                <w:sz w:val="21"/>
                <w:szCs w:val="21"/>
                <w:highlight w:val="none"/>
                <w:lang w:val="en-US" w:eastAsia="zh-CN" w:bidi="ar-SA"/>
              </w:rPr>
            </w:pPr>
            <w:r>
              <w:rPr>
                <w:rFonts w:hint="eastAsia" w:ascii="宋体" w:hAnsi="宋体" w:cs="宋体"/>
                <w:szCs w:val="21"/>
              </w:rPr>
              <w:t xml:space="preserve">无</w:t>
            </w:r>
            <w:r>
              <w:rPr>
                <w:rFonts w:ascii="宋体" w:hAnsi="宋体" w:eastAsia="宋体" w:cs="宋体"/>
                <w:b w:val="0"/>
                <w:bCs w:val="0"/>
                <w:color w:val="000000"/>
                <w:sz w:val="21"/>
                <w:szCs w:val="21"/>
                <w:highlight w:val="none"/>
                <w:lang w:val="en-US" w:eastAsia="zh-CN" w:bidi="ar-SA"/>
              </w:rPr>
            </w:r>
            <w:r/>
          </w:p>
        </w:tc>
        <w:tc>
          <w:tcPr>
            <w:tcW w:w="973" w:type="dxa"/>
            <w:vAlign w:val="center"/>
            <w:textDirection w:val="lrTb"/>
            <w:noWrap w:val="false"/>
          </w:tcPr>
          <w:p>
            <w:pPr>
              <w:pStyle w:val="1197"/>
              <w:tabs>
                <w:tab w:val="left" w:pos="1080"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bl>
    <w:p>
      <w:pPr>
        <w:pStyle w:val="1197"/>
        <w:jc w:val="left"/>
        <w:widowControl/>
        <w:rPr>
          <w:sz w:val="24"/>
        </w:rPr>
      </w:pPr>
      <w:r>
        <w:rPr>
          <w:sz w:val="24"/>
        </w:rPr>
        <w:br w:type="page" w:clear="all"/>
      </w:r>
      <w:r>
        <w:rPr>
          <w:sz w:val="24"/>
        </w:rPr>
      </w:r>
      <w:r/>
    </w:p>
    <w:p>
      <w:pPr>
        <w:pStyle w:val="1197"/>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《符合性审查要求》见下表：</w:t>
      </w:r>
      <w:r>
        <w:rPr>
          <w:rFonts w:hint="eastAsia" w:ascii="宋体" w:hAnsi="宋体" w:eastAsia="宋体" w:cs="宋体"/>
          <w:sz w:val="21"/>
          <w:szCs w:val="21"/>
        </w:rPr>
      </w:r>
      <w:r/>
    </w:p>
    <w:p>
      <w:pPr>
        <w:pStyle w:val="1197"/>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符合性审查要求</w:t>
      </w:r>
      <w:r>
        <w:rPr>
          <w:rFonts w:hint="eastAsia" w:ascii="宋体" w:hAnsi="宋体" w:eastAsia="宋体" w:cs="宋体"/>
          <w:b/>
          <w:color w:val="000000"/>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812"/>
        <w:gridCol w:w="6732"/>
      </w:tblGrid>
      <w:tr>
        <w:trPr>
          <w:trHeight w:val="300"/>
        </w:trPr>
        <w:tc>
          <w:tcPr>
            <w:tcW w:w="401" w:type="dxa"/>
            <w:vAlign w:val="center"/>
            <w:textDirection w:val="lrTb"/>
            <w:noWrap w:val="false"/>
          </w:tcPr>
          <w:p>
            <w:pPr>
              <w:pStyle w:val="1197"/>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975" w:type="dxa"/>
            <w:vAlign w:val="center"/>
            <w:textDirection w:val="lrTb"/>
            <w:noWrap w:val="false"/>
          </w:tcPr>
          <w:p>
            <w:pPr>
              <w:pStyle w:val="1197"/>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审查因素</w:t>
            </w:r>
            <w:r>
              <w:rPr>
                <w:rFonts w:hint="eastAsia" w:ascii="宋体" w:hAnsi="宋体" w:eastAsia="宋体" w:cs="宋体"/>
                <w:b/>
                <w:color w:val="000000"/>
                <w:sz w:val="21"/>
                <w:szCs w:val="21"/>
              </w:rPr>
            </w:r>
            <w:r/>
          </w:p>
        </w:tc>
        <w:tc>
          <w:tcPr>
            <w:tcW w:w="3623" w:type="dxa"/>
            <w:vAlign w:val="center"/>
            <w:textDirection w:val="lrTb"/>
            <w:noWrap w:val="false"/>
          </w:tcPr>
          <w:p>
            <w:pPr>
              <w:pStyle w:val="1197"/>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审查内容</w:t>
            </w:r>
            <w:r>
              <w:rPr>
                <w:rFonts w:hint="eastAsia" w:ascii="宋体" w:hAnsi="宋体" w:eastAsia="宋体" w:cs="宋体"/>
                <w:b/>
                <w:color w:val="000000"/>
                <w:sz w:val="21"/>
                <w:szCs w:val="21"/>
              </w:rPr>
            </w:r>
            <w:r/>
          </w:p>
        </w:tc>
      </w:tr>
      <w:tr>
        <w:trPr>
          <w:trHeight w:val="685"/>
        </w:trPr>
        <w:tc>
          <w:tcPr>
            <w:tcW w:w="401" w:type="dxa"/>
            <w:vAlign w:val="center"/>
            <w:textDirection w:val="lrTb"/>
            <w:noWrap w:val="false"/>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r>
            <w:r/>
          </w:p>
        </w:tc>
        <w:tc>
          <w:tcPr>
            <w:tcW w:w="3623"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按磋商文件要求提供</w:t>
            </w:r>
            <w:r>
              <w:rPr>
                <w:rFonts w:hint="eastAsia" w:ascii="宋体" w:hAnsi="宋体" w:eastAsia="宋体" w:cs="宋体"/>
                <w:b/>
                <w:bCs/>
                <w:color w:val="000000"/>
                <w:sz w:val="21"/>
                <w:szCs w:val="21"/>
              </w:rPr>
              <w:t xml:space="preserve">响应函</w:t>
            </w:r>
            <w:r>
              <w:rPr>
                <w:rFonts w:hint="eastAsia" w:ascii="宋体" w:hAnsi="宋体" w:eastAsia="宋体" w:cs="宋体"/>
                <w:color w:val="000000"/>
                <w:sz w:val="21"/>
                <w:szCs w:val="21"/>
              </w:rPr>
              <w:t xml:space="preserve">、</w:t>
            </w:r>
            <w:r>
              <w:rPr>
                <w:rFonts w:hint="eastAsia" w:ascii="宋体" w:hAnsi="宋体" w:eastAsia="宋体" w:cs="宋体"/>
                <w:b/>
                <w:bCs/>
                <w:color w:val="000000"/>
                <w:sz w:val="21"/>
                <w:szCs w:val="21"/>
              </w:rPr>
              <w:t xml:space="preserve">法定代表人资格证明书</w:t>
            </w:r>
            <w:r>
              <w:rPr>
                <w:rFonts w:hint="eastAsia" w:ascii="宋体" w:hAnsi="宋体" w:eastAsia="宋体" w:cs="宋体"/>
                <w:color w:val="000000"/>
                <w:sz w:val="21"/>
                <w:szCs w:val="21"/>
              </w:rPr>
              <w:t xml:space="preserve">和</w:t>
            </w:r>
            <w:r>
              <w:rPr>
                <w:rFonts w:hint="eastAsia" w:ascii="宋体" w:hAnsi="宋体" w:eastAsia="宋体" w:cs="宋体"/>
                <w:b/>
                <w:bCs/>
                <w:color w:val="000000"/>
                <w:sz w:val="21"/>
                <w:szCs w:val="21"/>
              </w:rPr>
              <w:t xml:space="preserve">政府采购供应商信用承诺书</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响应完整性</w:t>
            </w:r>
            <w:r>
              <w:rPr>
                <w:rFonts w:hint="eastAsia" w:ascii="宋体" w:hAnsi="宋体" w:eastAsia="宋体" w:cs="宋体"/>
                <w:color w:val="000000"/>
                <w:sz w:val="21"/>
                <w:szCs w:val="21"/>
              </w:rPr>
            </w:r>
            <w:r/>
          </w:p>
        </w:tc>
        <w:tc>
          <w:tcPr>
            <w:tcW w:w="3623"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sz w:val="21"/>
                <w:szCs w:val="21"/>
              </w:rPr>
              <w:t xml:space="preserve">未将一个采购包中的内容拆开响应；</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w:t>
            </w:r>
            <w:r>
              <w:rPr>
                <w:rFonts w:hint="eastAsia" w:ascii="宋体" w:hAnsi="宋体" w:eastAsia="宋体" w:cs="宋体"/>
                <w:color w:val="000000"/>
                <w:sz w:val="21"/>
                <w:szCs w:val="21"/>
              </w:rPr>
            </w:r>
            <w:r/>
          </w:p>
        </w:tc>
        <w:tc>
          <w:tcPr>
            <w:tcW w:w="3623"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响应报价未超过磋商文件中规定的采购包预算金额或者采购包最高限价；</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报价唯一性</w:t>
            </w:r>
            <w:r>
              <w:rPr>
                <w:rFonts w:hint="eastAsia" w:ascii="宋体" w:hAnsi="宋体" w:eastAsia="宋体" w:cs="宋体"/>
                <w:color w:val="000000"/>
                <w:sz w:val="21"/>
                <w:szCs w:val="21"/>
              </w:rPr>
            </w:r>
            <w:r/>
          </w:p>
        </w:tc>
        <w:tc>
          <w:tcPr>
            <w:tcW w:w="3623"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w:t>
            </w:r>
            <w:r>
              <w:rPr>
                <w:rFonts w:hint="eastAsia" w:ascii="宋体" w:hAnsi="宋体" w:eastAsia="宋体" w:cs="宋体"/>
                <w:sz w:val="21"/>
                <w:szCs w:val="21"/>
              </w:rPr>
              <w:t xml:space="preserve">出现可选择性或可调整的报价（磋商文件另有规定的除外）</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197"/>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1197"/>
              <w:jc w:val="lef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报价合理性</w:t>
            </w:r>
            <w:r>
              <w:rPr>
                <w:rFonts w:ascii="宋体" w:hAnsi="宋体" w:eastAsia="宋体" w:cs="宋体"/>
                <w:color w:val="000000"/>
                <w:sz w:val="21"/>
                <w:szCs w:val="21"/>
                <w:highlight w:val="none"/>
                <w:lang w:val="en-US" w:eastAsia="zh-CN"/>
              </w:rPr>
            </w:r>
            <w:r/>
          </w:p>
        </w:tc>
        <w:tc>
          <w:tcPr>
            <w:tcW w:w="3623" w:type="dxa"/>
            <w:vAlign w:val="center"/>
            <w:textDirection w:val="lrTb"/>
            <w:noWrap w:val="false"/>
          </w:tcPr>
          <w:p>
            <w:pPr>
              <w:pStyle w:val="1197"/>
              <w:jc w:val="left"/>
              <w:widowControl/>
              <w:rPr>
                <w:rFonts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详见下文4.7条，</w:t>
            </w:r>
            <w:r>
              <w:rPr>
                <w:rFonts w:hint="eastAsia" w:ascii="宋体" w:hAnsi="宋体" w:eastAsia="宋体" w:cs="宋体"/>
                <w:b/>
                <w:bCs/>
                <w:color w:val="000000"/>
                <w:sz w:val="21"/>
                <w:szCs w:val="21"/>
                <w:highlight w:val="none"/>
                <w:lang w:val="en-US" w:eastAsia="zh-CN"/>
              </w:rPr>
              <w:t xml:space="preserve">异常低价响应审查程序</w:t>
            </w:r>
            <w:r>
              <w:rPr>
                <w:rFonts w:hint="eastAsia" w:ascii="宋体" w:hAnsi="宋体" w:eastAsia="宋体" w:cs="宋体"/>
                <w:b/>
                <w:bCs/>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r>
      <w:tr>
        <w:trPr>
          <w:trHeight w:val="685"/>
        </w:trPr>
        <w:tc>
          <w:tcPr>
            <w:tcW w:w="401" w:type="dxa"/>
            <w:vAlign w:val="center"/>
            <w:textDirection w:val="lrTb"/>
            <w:noWrap w:val="false"/>
          </w:tcPr>
          <w:p>
            <w:pPr>
              <w:pStyle w:val="1197"/>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响应有效期</w:t>
            </w:r>
            <w:r>
              <w:rPr>
                <w:rFonts w:hint="eastAsia" w:ascii="宋体" w:hAnsi="宋体" w:eastAsia="宋体" w:cs="宋体"/>
                <w:color w:val="000000"/>
                <w:sz w:val="21"/>
                <w:szCs w:val="21"/>
              </w:rPr>
            </w:r>
            <w:r/>
          </w:p>
        </w:tc>
        <w:tc>
          <w:tcPr>
            <w:tcW w:w="3623"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响应文件中承诺的响应有效期满足磋商文件中载明的响应有效期的；</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197"/>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签署、加盖公章</w:t>
            </w:r>
            <w:r>
              <w:rPr>
                <w:rFonts w:hint="eastAsia" w:ascii="宋体" w:hAnsi="宋体" w:eastAsia="宋体" w:cs="宋体"/>
                <w:color w:val="000000"/>
                <w:sz w:val="21"/>
                <w:szCs w:val="21"/>
              </w:rPr>
            </w:r>
            <w:r/>
          </w:p>
        </w:tc>
        <w:tc>
          <w:tcPr>
            <w:tcW w:w="3623"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按照磋商文件要求签署、加盖公章的；</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197"/>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实质性格式</w:t>
            </w:r>
            <w:r>
              <w:rPr>
                <w:rFonts w:hint="eastAsia" w:ascii="宋体" w:hAnsi="宋体" w:eastAsia="宋体" w:cs="宋体"/>
                <w:color w:val="000000"/>
                <w:sz w:val="21"/>
                <w:szCs w:val="21"/>
              </w:rPr>
            </w:r>
            <w:r/>
          </w:p>
        </w:tc>
        <w:tc>
          <w:tcPr>
            <w:tcW w:w="3623"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sz w:val="21"/>
                <w:szCs w:val="21"/>
              </w:rPr>
              <w:t xml:space="preserve">标记为“实质性格式”的文件均按磋商文件要求提供；</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197"/>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★号条款响应</w:t>
            </w:r>
            <w:r>
              <w:rPr>
                <w:rFonts w:hint="eastAsia" w:ascii="宋体" w:hAnsi="宋体" w:eastAsia="宋体" w:cs="宋体"/>
                <w:color w:val="000000"/>
                <w:sz w:val="21"/>
                <w:szCs w:val="21"/>
                <w:highlight w:val="none"/>
              </w:rPr>
            </w:r>
            <w:r/>
          </w:p>
        </w:tc>
        <w:tc>
          <w:tcPr>
            <w:tcW w:w="3623" w:type="dxa"/>
            <w:vAlign w:val="center"/>
            <w:textDirection w:val="lrTb"/>
            <w:noWrap w:val="false"/>
          </w:tcPr>
          <w:p>
            <w:pPr>
              <w:pStyle w:val="1197"/>
              <w:jc w:val="left"/>
              <w:widowControl/>
              <w:rPr>
                <w:rFonts w:hint="eastAsia" w:ascii="宋体" w:hAnsi="宋体" w:eastAsia="宋体" w:cs="宋体"/>
                <w:sz w:val="21"/>
                <w:szCs w:val="21"/>
                <w:highlight w:val="none"/>
              </w:rPr>
            </w:pPr>
            <w:r>
              <w:rPr>
                <w:rFonts w:hint="eastAsia" w:ascii="宋体" w:hAnsi="宋体" w:cs="宋体"/>
                <w:color w:val="000000"/>
                <w:szCs w:val="21"/>
                <w:highlight w:val="none"/>
              </w:rPr>
              <w:t xml:space="preserve">响应文件满足磋商文件</w:t>
            </w:r>
            <w:r>
              <w:rPr>
                <w:rFonts w:hint="eastAsia" w:ascii="宋体" w:hAnsi="宋体" w:cs="宋体"/>
                <w:szCs w:val="21"/>
                <w:highlight w:val="none"/>
              </w:rPr>
              <w:t xml:space="preserve">第五章《采购需求》</w:t>
            </w:r>
            <w:r>
              <w:rPr>
                <w:rFonts w:hint="eastAsia" w:ascii="宋体" w:hAnsi="宋体" w:cs="宋体"/>
                <w:color w:val="000000"/>
                <w:szCs w:val="21"/>
                <w:highlight w:val="none"/>
              </w:rPr>
              <w:t xml:space="preserve">中★号条款要求的；</w:t>
            </w:r>
            <w:r>
              <w:rPr>
                <w:rFonts w:hint="eastAsia" w:ascii="宋体" w:hAnsi="宋体" w:eastAsia="宋体" w:cs="宋体"/>
                <w:sz w:val="21"/>
                <w:szCs w:val="21"/>
                <w:highlight w:val="none"/>
              </w:rPr>
            </w:r>
            <w:r/>
          </w:p>
        </w:tc>
      </w:tr>
      <w:tr>
        <w:trPr>
          <w:trHeight w:val="685"/>
        </w:trPr>
        <w:tc>
          <w:tcPr>
            <w:tcW w:w="401" w:type="dxa"/>
            <w:vAlign w:val="center"/>
            <w:textDirection w:val="lrTb"/>
            <w:noWrap w:val="false"/>
          </w:tcPr>
          <w:p>
            <w:pPr>
              <w:pStyle w:val="1197"/>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bidi="ar-SA"/>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w:t>
            </w:r>
            <w:r>
              <w:rPr>
                <w:rFonts w:hint="eastAsia" w:ascii="宋体" w:hAnsi="宋体" w:eastAsia="宋体" w:cs="宋体"/>
                <w:color w:val="000000"/>
                <w:sz w:val="21"/>
                <w:szCs w:val="21"/>
              </w:rPr>
            </w:r>
            <w:r/>
          </w:p>
        </w:tc>
        <w:tc>
          <w:tcPr>
            <w:tcW w:w="3623" w:type="dxa"/>
            <w:vAlign w:val="center"/>
            <w:textDirection w:val="lrTb"/>
            <w:noWrap w:val="false"/>
          </w:tcPr>
          <w:p>
            <w:pPr>
              <w:pStyle w:val="1197"/>
              <w:jc w:val="lef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eastAsia="宋体" w:cs="宋体"/>
                <w:b/>
                <w:bCs/>
                <w:color w:val="000000"/>
                <w:sz w:val="21"/>
                <w:szCs w:val="21"/>
              </w:rPr>
            </w:r>
            <w:r/>
          </w:p>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 w:val="21"/>
                <w:szCs w:val="21"/>
              </w:rPr>
            </w:r>
            <w:r/>
          </w:p>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2）响应产品如涉及计算机信息系统安全专用产品的，须提供公安部颁发的计算机信息系统安全专用产品销售许可证；</w:t>
            </w:r>
            <w:r>
              <w:rPr>
                <w:rFonts w:hint="eastAsia" w:ascii="宋体" w:hAnsi="宋体" w:eastAsia="宋体" w:cs="宋体"/>
                <w:color w:val="000000"/>
                <w:sz w:val="21"/>
                <w:szCs w:val="21"/>
              </w:rPr>
            </w:r>
            <w:r/>
          </w:p>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1"/>
                <w:szCs w:val="21"/>
              </w:rPr>
            </w:r>
            <w:r/>
          </w:p>
          <w:p>
            <w:pPr>
              <w:pStyle w:val="1197"/>
              <w:jc w:val="left"/>
              <w:widowControl/>
              <w:rPr>
                <w:rFonts w:hint="eastAsia" w:ascii="宋体" w:hAnsi="宋体" w:eastAsia="宋体" w:cs="宋体"/>
                <w:color w:val="000000"/>
                <w:sz w:val="21"/>
                <w:szCs w:val="21"/>
              </w:rPr>
            </w:pPr>
            <w:r>
              <w:rPr>
                <w:rFonts w:hint="eastAsia" w:ascii="宋体" w:hAnsi="宋体" w:eastAsia="宋体" w:cs="宋体"/>
                <w:sz w:val="21"/>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197"/>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11</w:t>
            </w:r>
            <w:r>
              <w:rPr>
                <w:rFonts w:ascii="宋体" w:hAnsi="宋体" w:eastAsia="宋体" w:cs="宋体"/>
                <w:color w:val="000000"/>
                <w:sz w:val="21"/>
                <w:szCs w:val="21"/>
                <w:lang w:val="en-US" w:eastAsia="zh-CN" w:bidi="ar-SA"/>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公平竞争</w:t>
            </w:r>
            <w:r>
              <w:rPr>
                <w:rFonts w:hint="eastAsia" w:ascii="宋体" w:hAnsi="宋体" w:eastAsia="宋体" w:cs="宋体"/>
                <w:color w:val="000000"/>
                <w:sz w:val="21"/>
                <w:szCs w:val="21"/>
              </w:rPr>
            </w:r>
            <w:r/>
          </w:p>
        </w:tc>
        <w:tc>
          <w:tcPr>
            <w:tcW w:w="3623"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197"/>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12</w:t>
            </w:r>
            <w:r>
              <w:rPr>
                <w:rFonts w:ascii="宋体" w:hAnsi="宋体" w:eastAsia="宋体" w:cs="宋体"/>
                <w:color w:val="000000"/>
                <w:sz w:val="21"/>
                <w:szCs w:val="21"/>
                <w:lang w:val="en-US" w:eastAsia="zh-CN" w:bidi="ar-SA"/>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串通响应</w:t>
            </w:r>
            <w:r>
              <w:rPr>
                <w:rFonts w:hint="eastAsia" w:ascii="宋体" w:hAnsi="宋体" w:eastAsia="宋体" w:cs="宋体"/>
                <w:color w:val="000000"/>
                <w:sz w:val="21"/>
                <w:szCs w:val="21"/>
              </w:rPr>
            </w:r>
            <w:r/>
          </w:p>
        </w:tc>
        <w:tc>
          <w:tcPr>
            <w:tcW w:w="3623"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197"/>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13</w:t>
            </w:r>
            <w:r>
              <w:rPr>
                <w:rFonts w:ascii="宋体" w:hAnsi="宋体" w:eastAsia="宋体" w:cs="宋体"/>
                <w:color w:val="000000"/>
                <w:sz w:val="21"/>
                <w:szCs w:val="21"/>
                <w:lang w:val="en-US" w:eastAsia="zh-CN" w:bidi="ar-SA"/>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附加条件</w:t>
            </w:r>
            <w:r>
              <w:rPr>
                <w:rFonts w:hint="eastAsia" w:ascii="宋体" w:hAnsi="宋体" w:eastAsia="宋体" w:cs="宋体"/>
                <w:color w:val="000000"/>
                <w:sz w:val="21"/>
                <w:szCs w:val="21"/>
              </w:rPr>
            </w:r>
            <w:r/>
          </w:p>
        </w:tc>
        <w:tc>
          <w:tcPr>
            <w:tcW w:w="3623"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响应文件未含有采购人不能接受的附加条件的；</w:t>
            </w:r>
            <w:r>
              <w:rPr>
                <w:rFonts w:hint="eastAsia" w:ascii="宋体" w:hAnsi="宋体" w:eastAsia="宋体" w:cs="宋体"/>
                <w:color w:val="000000"/>
                <w:sz w:val="21"/>
                <w:szCs w:val="21"/>
              </w:rPr>
            </w:r>
            <w:r/>
          </w:p>
        </w:tc>
      </w:tr>
      <w:tr>
        <w:trPr>
          <w:trHeight w:val="685"/>
        </w:trPr>
        <w:tc>
          <w:tcPr>
            <w:tcW w:w="401" w:type="dxa"/>
            <w:vAlign w:val="center"/>
            <w:textDirection w:val="lrTb"/>
            <w:noWrap w:val="false"/>
          </w:tcPr>
          <w:p>
            <w:pPr>
              <w:pStyle w:val="1197"/>
              <w:jc w:val="center"/>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w:t>
            </w:r>
            <w:r>
              <w:rPr>
                <w:rFonts w:ascii="宋体" w:hAnsi="宋体" w:eastAsia="宋体" w:cs="宋体"/>
                <w:color w:val="000000"/>
                <w:sz w:val="21"/>
                <w:szCs w:val="21"/>
                <w:lang w:val="en-US" w:eastAsia="zh-CN"/>
              </w:rPr>
            </w:r>
            <w:r/>
          </w:p>
        </w:tc>
        <w:tc>
          <w:tcPr>
            <w:tcW w:w="975"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其他无效情形</w:t>
            </w:r>
            <w:r>
              <w:rPr>
                <w:rFonts w:hint="eastAsia" w:ascii="宋体" w:hAnsi="宋体" w:eastAsia="宋体" w:cs="宋体"/>
                <w:color w:val="000000"/>
                <w:sz w:val="21"/>
                <w:szCs w:val="21"/>
              </w:rPr>
            </w:r>
            <w:r/>
          </w:p>
        </w:tc>
        <w:tc>
          <w:tcPr>
            <w:tcW w:w="3623" w:type="dxa"/>
            <w:vAlign w:val="center"/>
            <w:textDirection w:val="lrTb"/>
            <w:noWrap w:val="false"/>
          </w:tcPr>
          <w:p>
            <w:pPr>
              <w:pStyle w:val="1197"/>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供应商、响应文件不存在不符合法律、法规和磋商文件规定的其他无效情形。</w:t>
            </w:r>
            <w:r>
              <w:rPr>
                <w:rFonts w:hint="eastAsia" w:ascii="宋体" w:hAnsi="宋体" w:eastAsia="宋体" w:cs="宋体"/>
                <w:color w:val="000000"/>
                <w:sz w:val="21"/>
                <w:szCs w:val="21"/>
              </w:rPr>
            </w:r>
            <w:r/>
          </w:p>
        </w:tc>
      </w:tr>
    </w:tbl>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磋商、响应文件有关事项的澄清、说明或者更正和最终报价</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磋商小组所有成员应当集中与单一供应商分别进行磋商，并给予所有参加磋商的供应商平等的磋商机会。</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sz w:val="21"/>
          <w:szCs w:val="21"/>
        </w:rPr>
      </w:r>
      <w:r/>
    </w:p>
    <w:p>
      <w:pPr>
        <w:pStyle w:val="1197"/>
        <w:numPr>
          <w:ilvl w:val="0"/>
          <w:numId w:val="0"/>
        </w:numPr>
        <w:ind w:firstLine="422"/>
        <w:spacing w:line="360" w:lineRule="auto"/>
        <w:tabs>
          <w:tab w:val="left" w:pos="1080" w:leader="none"/>
          <w:tab w:val="left" w:pos="1872"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2.3对磋商文件作出的实质性变动是磋商文件的有效组成部分，磋商小组应当及时通过“苏采云”政府采购一体化平台系统以书面形式同时通知所有参加磋商的供应商。</w:t>
      </w:r>
      <w:r>
        <w:rPr>
          <w:rFonts w:hint="eastAsia" w:ascii="宋体" w:hAnsi="宋体" w:eastAsia="宋体" w:cs="宋体"/>
          <w:b/>
          <w:bCs/>
          <w:sz w:val="21"/>
          <w:szCs w:val="21"/>
          <w:highlight w:val="none"/>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响应文件的澄清、说明或者更正：</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评审过程中，磋商小组会将通过</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eastAsia="宋体" w:cs="宋体"/>
          <w:sz w:val="21"/>
          <w:szCs w:val="21"/>
          <w:highlight w:val="none"/>
        </w:rPr>
      </w:r>
      <w:r/>
    </w:p>
    <w:p>
      <w:pPr>
        <w:pStyle w:val="1197"/>
        <w:numPr>
          <w:ilvl w:val="0"/>
          <w:numId w:val="0"/>
        </w:numPr>
        <w:ind w:firstLine="422"/>
        <w:spacing w:line="360" w:lineRule="auto"/>
        <w:tabs>
          <w:tab w:val="left" w:pos="1080" w:leader="none"/>
          <w:tab w:val="left" w:pos="1872"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2.6磋商结束后，磋商小组将要求所有实质性响应的供应商在规定时间内通过“苏采云”政府采购一体化平台系统提交最终报价。</w:t>
      </w:r>
      <w:r>
        <w:rPr>
          <w:rFonts w:hint="eastAsia" w:ascii="宋体" w:hAnsi="宋体" w:eastAsia="宋体" w:cs="宋体"/>
          <w:b/>
          <w:sz w:val="21"/>
          <w:szCs w:val="21"/>
          <w:highlight w:val="none"/>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2.7</w:t>
      </w:r>
      <w:r>
        <w:rPr>
          <w:rFonts w:hint="eastAsia" w:ascii="宋体" w:hAnsi="宋体" w:eastAsia="宋体" w:cs="宋体"/>
          <w:sz w:val="21"/>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sz w:val="21"/>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2.8</w:t>
      </w:r>
      <w:r>
        <w:rPr>
          <w:rFonts w:hint="eastAsia" w:ascii="宋体" w:hAnsi="宋体" w:eastAsia="宋体" w:cs="宋体"/>
          <w:sz w:val="21"/>
          <w:szCs w:val="21"/>
        </w:rPr>
        <w:t xml:space="preserve">最终报价是供应商响应文件的有效组成部分。</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rPr>
        <w:t xml:space="preserve">已提交响应文件的供应商，在提交最终报价之前，可以根据磋商情况退出磋商。</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最终报价的算术修正及政策调整</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rPr>
        <w:t xml:space="preserve">最终报价出现前后不一致的，按照下列规定修正：</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3.2.1</w:t>
      </w:r>
      <w:r>
        <w:rPr>
          <w:rFonts w:hint="eastAsia" w:ascii="宋体" w:hAnsi="宋体" w:eastAsia="宋体" w:cs="宋体"/>
          <w:sz w:val="21"/>
          <w:szCs w:val="21"/>
        </w:rPr>
        <w:t xml:space="preserve">竞争性磋商文件对于报价修正是否另有规定：</w:t>
      </w:r>
      <w:r>
        <w:rPr>
          <w:rFonts w:hint="eastAsia" w:ascii="宋体" w:hAnsi="宋体" w:eastAsia="宋体" w:cs="宋体"/>
          <w:sz w:val="21"/>
          <w:szCs w:val="21"/>
        </w:rPr>
      </w:r>
      <w:r/>
    </w:p>
    <w:p>
      <w:pPr>
        <w:pStyle w:val="1197"/>
        <w:ind w:firstLine="1050"/>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u w:val="single"/>
          <w:lang w:val="en-US" w:eastAsia="zh-CN"/>
        </w:rPr>
      </w:pPr>
      <w:r>
        <w:rPr>
          <w:rFonts w:ascii="Wingdings 2" w:hAnsi="Wingdings 2" w:eastAsia="Wingdings 2" w:cs="Wingdings 2"/>
          <w:sz w:val="21"/>
          <w:szCs w:val="21"/>
        </w:rPr>
        <w:t xml:space="preserve">£</w:t>
      </w:r>
      <w:r>
        <w:rPr>
          <w:rFonts w:hint="eastAsia" w:ascii="宋体" w:hAnsi="宋体" w:eastAsia="宋体" w:cs="宋体"/>
          <w:sz w:val="21"/>
          <w:szCs w:val="21"/>
        </w:rPr>
        <w:t xml:space="preserve">有，具体规定为：</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r>
      <w:r/>
    </w:p>
    <w:p>
      <w:pPr>
        <w:pStyle w:val="1197"/>
        <w:ind w:firstLine="1050"/>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sz w:val="21"/>
          <w:szCs w:val="21"/>
        </w:rPr>
        <w:t xml:space="preserve">■无，按下述3.2.2-3.2.5项规定修正。</w:t>
      </w:r>
      <w:r>
        <w:rPr>
          <w:rFonts w:hint="eastAsia" w:ascii="宋体" w:hAnsi="宋体" w:eastAsia="宋体" w:cs="宋体"/>
          <w:sz w:val="21"/>
          <w:szCs w:val="21"/>
        </w:rPr>
      </w:r>
      <w:r/>
    </w:p>
    <w:p>
      <w:pPr>
        <w:pStyle w:val="1197"/>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3.2.2</w:t>
      </w:r>
      <w:r>
        <w:rPr>
          <w:rFonts w:hint="eastAsia" w:ascii="宋体" w:hAnsi="宋体" w:eastAsia="宋体" w:cs="宋体"/>
          <w:color w:val="000000"/>
          <w:sz w:val="21"/>
          <w:szCs w:val="21"/>
        </w:rPr>
        <w:t xml:space="preserve">大写金额和小写金额不一致的，以大写金额为准；</w:t>
      </w:r>
      <w:r>
        <w:rPr>
          <w:rFonts w:hint="eastAsia" w:ascii="宋体" w:hAnsi="宋体" w:eastAsia="宋体" w:cs="宋体"/>
          <w:color w:val="000000"/>
          <w:sz w:val="21"/>
          <w:szCs w:val="21"/>
        </w:rPr>
      </w:r>
      <w:r/>
    </w:p>
    <w:p>
      <w:pPr>
        <w:pStyle w:val="1197"/>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3.2.3</w:t>
      </w:r>
      <w:r>
        <w:rPr>
          <w:rFonts w:hint="eastAsia" w:ascii="宋体" w:hAnsi="宋体" w:eastAsia="宋体" w:cs="宋体"/>
          <w:color w:val="000000"/>
          <w:sz w:val="21"/>
          <w:szCs w:val="21"/>
        </w:rPr>
        <w:t xml:space="preserve">单价金额小数点或者百分比有明显错位的，以最终报价一览表的总价为准，并修改单价；</w:t>
      </w:r>
      <w:r>
        <w:rPr>
          <w:rFonts w:hint="eastAsia" w:ascii="宋体" w:hAnsi="宋体" w:eastAsia="宋体" w:cs="宋体"/>
          <w:color w:val="000000"/>
          <w:sz w:val="21"/>
          <w:szCs w:val="21"/>
        </w:rPr>
      </w:r>
      <w:r/>
    </w:p>
    <w:p>
      <w:pPr>
        <w:pStyle w:val="1197"/>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3.2.4</w:t>
      </w:r>
      <w:r>
        <w:rPr>
          <w:rFonts w:hint="eastAsia" w:ascii="宋体" w:hAnsi="宋体" w:eastAsia="宋体" w:cs="宋体"/>
          <w:color w:val="000000"/>
          <w:sz w:val="21"/>
          <w:szCs w:val="21"/>
        </w:rPr>
        <w:t xml:space="preserve">总价金额与按单价汇总金额不一致的，以单价金额计算结果为准。</w:t>
      </w:r>
      <w:r>
        <w:rPr>
          <w:rFonts w:hint="eastAsia" w:ascii="宋体" w:hAnsi="宋体" w:eastAsia="宋体" w:cs="宋体"/>
          <w:color w:val="000000"/>
          <w:sz w:val="21"/>
          <w:szCs w:val="21"/>
        </w:rPr>
      </w:r>
      <w:r/>
    </w:p>
    <w:p>
      <w:pPr>
        <w:pStyle w:val="1197"/>
        <w:numPr>
          <w:ilvl w:val="0"/>
          <w:numId w:val="0"/>
        </w:numPr>
        <w:ind w:firstLine="420"/>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3.2.5</w:t>
      </w:r>
      <w:r>
        <w:rPr>
          <w:rFonts w:hint="eastAsia" w:ascii="宋体" w:hAnsi="宋体" w:eastAsia="宋体" w:cs="宋体"/>
          <w:sz w:val="21"/>
          <w:szCs w:val="21"/>
        </w:rPr>
        <w:t xml:space="preserve">同时出现两种以上不一致的，按照前款规定的顺序修正。修正后的报价经供应商书面确认后产生约束力，供应商不确认的，</w:t>
      </w:r>
      <w:r>
        <w:rPr>
          <w:rFonts w:hint="eastAsia" w:ascii="宋体" w:hAnsi="宋体" w:eastAsia="宋体" w:cs="宋体"/>
          <w:b/>
          <w:sz w:val="21"/>
          <w:szCs w:val="21"/>
        </w:rPr>
        <w:t xml:space="preserve">其响应无效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eastAsia="宋体" w:cs="宋体"/>
          <w:sz w:val="21"/>
          <w:szCs w:val="21"/>
          <w:highlight w:val="none"/>
        </w:rPr>
      </w:r>
      <w:r/>
    </w:p>
    <w:p>
      <w:pPr>
        <w:pStyle w:val="1197"/>
        <w:numPr>
          <w:ilvl w:val="0"/>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3.3.1</w:t>
      </w:r>
      <w:r>
        <w:rPr>
          <w:rFonts w:hint="eastAsia" w:ascii="宋体" w:hAnsi="宋体" w:eastAsia="宋体" w:cs="宋体"/>
          <w:sz w:val="21"/>
          <w:szCs w:val="21"/>
          <w:highlight w:val="none"/>
        </w:rPr>
        <w:t xml:space="preserve">对于未预留份额专门面向中小企业采购的采购项目，以及预留份额项目中的非预留部分采购包，对</w:t>
      </w:r>
      <w:r>
        <w:rPr>
          <w:rFonts w:hint="eastAsia" w:ascii="宋体" w:hAnsi="宋体" w:eastAsia="宋体" w:cs="宋体"/>
          <w:b/>
          <w:sz w:val="21"/>
          <w:szCs w:val="21"/>
          <w:highlight w:val="none"/>
        </w:rPr>
        <w:t xml:space="preserve">小微企业</w:t>
      </w:r>
      <w:r>
        <w:rPr>
          <w:rFonts w:hint="eastAsia" w:ascii="宋体" w:hAnsi="宋体" w:eastAsia="宋体" w:cs="宋体"/>
          <w:sz w:val="21"/>
          <w:szCs w:val="21"/>
          <w:highlight w:val="none"/>
        </w:rPr>
        <w:t xml:space="preserve">报价给予</w:t>
      </w:r>
      <w:r>
        <w:rPr>
          <w:rFonts w:hint="eastAsia" w:ascii="宋体" w:hAnsi="宋体" w:eastAsia="宋体" w:cs="宋体"/>
          <w:b/>
          <w:bCs/>
          <w:sz w:val="21"/>
          <w:szCs w:val="21"/>
          <w:highlight w:val="none"/>
        </w:rPr>
        <w:t xml:space="preserve">20%</w:t>
      </w:r>
      <w:r>
        <w:rPr>
          <w:rFonts w:hint="eastAsia" w:ascii="宋体" w:hAnsi="宋体" w:eastAsia="宋体" w:cs="宋体"/>
          <w:sz w:val="21"/>
          <w:szCs w:val="21"/>
          <w:highlight w:val="none"/>
        </w:rPr>
        <w:t xml:space="preserve">的扣除，用扣除后的价格参加评审。</w:t>
      </w:r>
      <w:r>
        <w:rPr>
          <w:rFonts w:hint="eastAsia" w:ascii="宋体" w:hAnsi="宋体" w:eastAsia="宋体" w:cs="宋体"/>
          <w:sz w:val="21"/>
          <w:szCs w:val="21"/>
          <w:highlight w:val="none"/>
          <w:lang w:eastAsia="zh-CN"/>
        </w:rPr>
      </w:r>
      <w:r/>
    </w:p>
    <w:p>
      <w:pPr>
        <w:pStyle w:val="1197"/>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3.3.2</w:t>
      </w:r>
      <w:r>
        <w:rPr>
          <w:rFonts w:hint="eastAsia" w:ascii="宋体" w:hAnsi="宋体" w:eastAsia="宋体" w:cs="宋体"/>
          <w:sz w:val="21"/>
          <w:szCs w:val="21"/>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sz w:val="21"/>
          <w:szCs w:val="21"/>
          <w:highlight w:val="none"/>
        </w:rPr>
        <w:t xml:space="preserve">小微企业</w:t>
      </w:r>
      <w:r>
        <w:rPr>
          <w:rFonts w:hint="eastAsia" w:ascii="宋体" w:hAnsi="宋体" w:eastAsia="宋体" w:cs="宋体"/>
          <w:sz w:val="21"/>
          <w:szCs w:val="21"/>
          <w:highlight w:val="none"/>
        </w:rPr>
        <w:t xml:space="preserve">组成联合体或者允许大中型企业向一家或者多家</w:t>
      </w:r>
      <w:r>
        <w:rPr>
          <w:rFonts w:hint="eastAsia" w:ascii="宋体" w:hAnsi="宋体" w:eastAsia="宋体" w:cs="宋体"/>
          <w:b/>
          <w:sz w:val="21"/>
          <w:szCs w:val="21"/>
          <w:highlight w:val="none"/>
        </w:rPr>
        <w:t xml:space="preserve">小微企业</w:t>
      </w:r>
      <w:r>
        <w:rPr>
          <w:rFonts w:hint="eastAsia" w:ascii="宋体" w:hAnsi="宋体" w:eastAsia="宋体" w:cs="宋体"/>
          <w:sz w:val="21"/>
          <w:szCs w:val="21"/>
          <w:highlight w:val="none"/>
        </w:rPr>
        <w:t xml:space="preserve">分包的采购项目，对于联合协议或者分包意向协议约定</w:t>
      </w:r>
      <w:r>
        <w:rPr>
          <w:rFonts w:hint="eastAsia" w:ascii="宋体" w:hAnsi="宋体" w:eastAsia="宋体" w:cs="宋体"/>
          <w:b/>
          <w:sz w:val="21"/>
          <w:szCs w:val="21"/>
          <w:highlight w:val="none"/>
        </w:rPr>
        <w:t xml:space="preserve">小微企业</w:t>
      </w:r>
      <w:r>
        <w:rPr>
          <w:rFonts w:hint="eastAsia" w:ascii="宋体" w:hAnsi="宋体" w:eastAsia="宋体" w:cs="宋体"/>
          <w:sz w:val="21"/>
          <w:szCs w:val="21"/>
          <w:highlight w:val="none"/>
        </w:rPr>
        <w:t xml:space="preserve">的合同份额占到合同总金额30%以上的联合体或者大中型企业的报价给予3%的扣除，用扣除后的价格参加评审。</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3.3.3</w:t>
      </w:r>
      <w:r>
        <w:rPr>
          <w:rFonts w:hint="eastAsia" w:ascii="宋体" w:hAnsi="宋体" w:eastAsia="宋体" w:cs="宋体"/>
          <w:sz w:val="21"/>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3.3.4</w:t>
      </w:r>
      <w:r>
        <w:rPr>
          <w:rFonts w:hint="eastAsia" w:ascii="宋体" w:hAnsi="宋体" w:eastAsia="宋体" w:cs="宋体"/>
          <w:sz w:val="21"/>
          <w:szCs w:val="21"/>
          <w:highlight w:val="none"/>
        </w:rPr>
        <w:t xml:space="preserve">价格扣除比例对小型企业和微型企业同等对待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不作区分。</w:t>
      </w:r>
      <w:r>
        <w:rPr>
          <w:rFonts w:hint="eastAsia" w:ascii="宋体" w:hAnsi="宋体" w:eastAsia="宋体" w:cs="宋体"/>
          <w:sz w:val="21"/>
          <w:szCs w:val="21"/>
          <w:highlight w:val="none"/>
        </w:rPr>
      </w:r>
      <w:r/>
    </w:p>
    <w:p>
      <w:pPr>
        <w:pStyle w:val="1197"/>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3.3.5</w:t>
      </w:r>
      <w:r>
        <w:rPr>
          <w:rFonts w:hint="eastAsia" w:ascii="宋体" w:hAnsi="宋体" w:eastAsia="宋体" w:cs="宋体"/>
          <w:color w:val="000000"/>
          <w:sz w:val="21"/>
          <w:szCs w:val="21"/>
          <w:highlight w:val="none"/>
        </w:rPr>
        <w:t xml:space="preserve">中小企业参加政府采购活动</w:t>
      </w:r>
      <w:r>
        <w:rPr>
          <w:rFonts w:hint="eastAsia" w:ascii="宋体" w:hAnsi="宋体" w:eastAsia="宋体" w:cs="宋体"/>
          <w:color w:val="000000"/>
          <w:sz w:val="21"/>
          <w:szCs w:val="21"/>
        </w:rPr>
        <w:t xml:space="preserve">，应当按照竞争性磋商文件给定的格式出具《中小企业声明函》，否则不得享受相关中小企业扶持政策。</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3.3.6</w:t>
      </w:r>
      <w:r>
        <w:rPr>
          <w:rFonts w:hint="eastAsia" w:ascii="宋体" w:hAnsi="宋体" w:eastAsia="宋体" w:cs="宋体"/>
          <w:sz w:val="21"/>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3.3.7</w:t>
      </w:r>
      <w:r>
        <w:rPr>
          <w:rFonts w:hint="eastAsia" w:ascii="宋体" w:hAnsi="宋体" w:eastAsia="宋体" w:cs="宋体"/>
          <w:sz w:val="21"/>
          <w:szCs w:val="21"/>
        </w:rPr>
        <w:t xml:space="preserve">残疾人福利性单位按竞争性磋商文件要求提供了《残疾人福利性单位声明函》（见附件）的，视同小微企业。</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3.3.8</w:t>
      </w:r>
      <w:r>
        <w:rPr>
          <w:rFonts w:hint="eastAsia" w:ascii="宋体" w:hAnsi="宋体" w:eastAsia="宋体" w:cs="宋体"/>
          <w:sz w:val="21"/>
          <w:szCs w:val="21"/>
        </w:rPr>
        <w:t xml:space="preserve">若供应商同时属于小型或微型企业、监狱企业、残疾人福利性单位中的两种及以上，将不重复享受小微企业价格扣减的优惠政策。</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3.3.9</w:t>
      </w:r>
      <w:r>
        <w:rPr>
          <w:rFonts w:hint="eastAsia" w:ascii="宋体" w:hAnsi="宋体" w:eastAsia="宋体" w:cs="宋体"/>
          <w:sz w:val="21"/>
          <w:szCs w:val="21"/>
        </w:rPr>
        <w:t xml:space="preserve">其他为落实政府采购政策实施的优先采购：</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磋商环节及提交最终报价后如出现以下情况的，供应商的</w:t>
      </w:r>
      <w:r>
        <w:rPr>
          <w:rFonts w:hint="eastAsia" w:ascii="宋体" w:hAnsi="宋体" w:eastAsia="宋体" w:cs="宋体"/>
          <w:b/>
          <w:color w:val="000000"/>
          <w:sz w:val="21"/>
          <w:szCs w:val="21"/>
          <w:highlight w:val="none"/>
        </w:rPr>
        <w:t xml:space="preserve">响应文件无效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97"/>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供应商对实质性变动不予确认的；</w:t>
      </w:r>
      <w:r>
        <w:rPr>
          <w:rFonts w:hint="eastAsia" w:ascii="宋体" w:hAnsi="宋体" w:eastAsia="宋体" w:cs="宋体"/>
          <w:color w:val="000000"/>
          <w:sz w:val="21"/>
          <w:szCs w:val="21"/>
          <w:highlight w:val="none"/>
        </w:rPr>
      </w:r>
      <w:r/>
    </w:p>
    <w:p>
      <w:pPr>
        <w:pStyle w:val="1197"/>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不满足磋商文件★号条款或磋商文件技术指标超出磋商文件《采购需求》中主要技术参数允许偏差的最大范围的（如有）；</w:t>
      </w:r>
      <w:r>
        <w:rPr>
          <w:rFonts w:hint="eastAsia" w:ascii="宋体" w:hAnsi="宋体" w:eastAsia="宋体" w:cs="宋体"/>
          <w:color w:val="000000"/>
          <w:sz w:val="21"/>
          <w:szCs w:val="21"/>
          <w:highlight w:val="none"/>
        </w:rPr>
      </w:r>
      <w:r/>
    </w:p>
    <w:p>
      <w:pPr>
        <w:pStyle w:val="1197"/>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t xml:space="preserve">未按照磋商小组规定的时间、逾期提交最终报价的；</w:t>
      </w:r>
      <w:r>
        <w:rPr>
          <w:rFonts w:hint="eastAsia" w:ascii="宋体" w:hAnsi="宋体" w:eastAsia="宋体" w:cs="宋体"/>
          <w:color w:val="000000"/>
          <w:sz w:val="21"/>
          <w:szCs w:val="21"/>
          <w:highlight w:val="none"/>
        </w:rPr>
      </w:r>
      <w:r/>
    </w:p>
    <w:p>
      <w:pPr>
        <w:pStyle w:val="1197"/>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4.4如供应商的最终报价超过竞争性磋商文件中规定的采购包预算金额或者采购包最高限价的；</w:t>
      </w:r>
      <w:r>
        <w:rPr>
          <w:rFonts w:hint="eastAsia" w:ascii="宋体" w:hAnsi="宋体" w:eastAsia="宋体" w:cs="宋体"/>
          <w:color w:val="000000"/>
          <w:sz w:val="21"/>
          <w:szCs w:val="21"/>
          <w:highlight w:val="none"/>
        </w:rPr>
      </w:r>
      <w:r/>
    </w:p>
    <w:p>
      <w:pPr>
        <w:pStyle w:val="1197"/>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响应文件中出现可选择性或可调整的报价的（竞争性磋商文件另有规定的除外）；</w:t>
      </w:r>
      <w:r>
        <w:rPr>
          <w:rFonts w:hint="eastAsia" w:ascii="宋体" w:hAnsi="宋体" w:eastAsia="宋体" w:cs="宋体"/>
          <w:color w:val="000000"/>
          <w:sz w:val="21"/>
          <w:szCs w:val="21"/>
          <w:highlight w:val="none"/>
        </w:rPr>
      </w:r>
      <w:r/>
    </w:p>
    <w:p>
      <w:pPr>
        <w:pStyle w:val="1197"/>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4.6</w:t>
      </w:r>
      <w:r>
        <w:rPr>
          <w:rFonts w:hint="eastAsia" w:ascii="宋体" w:hAnsi="宋体" w:eastAsia="宋体" w:cs="宋体"/>
          <w:color w:val="000000"/>
          <w:sz w:val="21"/>
          <w:szCs w:val="21"/>
          <w:highlight w:val="none"/>
        </w:rPr>
        <w:t xml:space="preserve">最终报价出现前后不一致，供应商对修正后的报价不予确认的；</w:t>
      </w:r>
      <w:r>
        <w:rPr>
          <w:rFonts w:hint="eastAsia" w:ascii="宋体" w:hAnsi="宋体" w:eastAsia="宋体" w:cs="宋体"/>
          <w:color w:val="000000"/>
          <w:sz w:val="21"/>
          <w:szCs w:val="21"/>
          <w:highlight w:val="none"/>
        </w:rPr>
      </w:r>
      <w:r/>
    </w:p>
    <w:p>
      <w:pPr>
        <w:pStyle w:val="119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4.7（一）出现下列情形之一的，磋商小组应当启动异常低价响应审查程序：</w:t>
      </w:r>
      <w:r>
        <w:rPr>
          <w:rFonts w:hint="eastAsia" w:ascii="宋体" w:hAnsi="宋体" w:eastAsia="宋体" w:cs="宋体"/>
          <w:b/>
          <w:bCs/>
          <w:color w:val="000000"/>
          <w:sz w:val="21"/>
          <w:szCs w:val="21"/>
          <w:highlight w:val="none"/>
          <w:lang w:val="en-US" w:eastAsia="zh-CN"/>
        </w:rPr>
      </w:r>
      <w:r/>
    </w:p>
    <w:p>
      <w:pPr>
        <w:pStyle w:val="119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4.7.1最终响应报价低于采购项目预算50%的，即最终响应报价&lt;采购项目预算×50%；</w:t>
      </w:r>
      <w:r>
        <w:rPr>
          <w:rFonts w:hint="eastAsia" w:ascii="宋体" w:hAnsi="宋体" w:eastAsia="宋体" w:cs="宋体"/>
          <w:b/>
          <w:bCs/>
          <w:color w:val="000000"/>
          <w:sz w:val="21"/>
          <w:szCs w:val="21"/>
          <w:highlight w:val="none"/>
          <w:lang w:val="en-US" w:eastAsia="zh-CN"/>
        </w:rPr>
      </w:r>
      <w:r/>
    </w:p>
    <w:p>
      <w:pPr>
        <w:pStyle w:val="119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4.7.2最终响应报价低于采购项目最高限价45%的，即</w:t>
      </w:r>
      <w:r>
        <w:rPr>
          <w:rFonts w:hint="eastAsia" w:ascii="宋体" w:hAnsi="宋体" w:eastAsia="宋体" w:cs="宋体"/>
          <w:b/>
          <w:bCs/>
          <w:color w:val="000000"/>
          <w:sz w:val="21"/>
          <w:szCs w:val="21"/>
          <w:highlight w:val="none"/>
          <w:lang w:val="en-US" w:eastAsia="zh-CN"/>
        </w:rPr>
        <w:t xml:space="preserve">最终响应报价</w:t>
      </w:r>
      <w:r>
        <w:rPr>
          <w:rFonts w:hint="eastAsia" w:ascii="宋体" w:hAnsi="宋体" w:eastAsia="宋体" w:cs="宋体"/>
          <w:b/>
          <w:bCs/>
          <w:color w:val="000000"/>
          <w:sz w:val="21"/>
          <w:szCs w:val="21"/>
          <w:highlight w:val="none"/>
          <w:lang w:val="en-US" w:eastAsia="zh-CN"/>
        </w:rPr>
        <w:t xml:space="preserve">&lt;采购项目最高限价×45%；</w:t>
      </w:r>
      <w:r>
        <w:rPr>
          <w:rFonts w:hint="eastAsia" w:ascii="宋体" w:hAnsi="宋体" w:eastAsia="宋体" w:cs="宋体"/>
          <w:b/>
          <w:bCs/>
          <w:color w:val="000000"/>
          <w:sz w:val="21"/>
          <w:szCs w:val="21"/>
          <w:highlight w:val="none"/>
          <w:lang w:val="en-US" w:eastAsia="zh-CN"/>
        </w:rPr>
      </w:r>
      <w:r/>
    </w:p>
    <w:p>
      <w:pPr>
        <w:pStyle w:val="119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4.7.3磋商小组认定的供应商报价过低、有可能影响产品质量或者不能诚信履约的其他情形。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1197"/>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启动异常低价响应审查后，磋商小组应当要求相关供应商在评标现场合理的时间内，提供项目具体成本测算等与报价合理性相关的书面说明及相关证明材料，对最终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ascii="宋体" w:hAnsi="宋体" w:eastAsia="宋体" w:cs="宋体"/>
          <w:b/>
          <w:bCs/>
          <w:color w:val="000000"/>
          <w:sz w:val="21"/>
          <w:szCs w:val="21"/>
          <w:highlight w:val="none"/>
          <w:lang w:val="en-US" w:eastAsia="zh-CN"/>
        </w:rPr>
      </w:r>
      <w:r/>
    </w:p>
    <w:p>
      <w:pPr>
        <w:pStyle w:val="1197"/>
        <w:numPr>
          <w:ilvl w:val="0"/>
          <w:numId w:val="0"/>
        </w:numPr>
        <w:ind w:firstLine="42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4.8</w:t>
      </w:r>
      <w:r>
        <w:rPr>
          <w:rFonts w:hint="eastAsia" w:ascii="宋体" w:hAnsi="宋体" w:eastAsia="宋体" w:cs="宋体"/>
          <w:sz w:val="21"/>
          <w:szCs w:val="21"/>
        </w:rPr>
        <w:t xml:space="preserve">其他：</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bookmarkEnd w:id="622"/>
      <w:r/>
      <w:bookmarkEnd w:id="623"/>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评审方法和评审标准</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5.1</w:t>
      </w:r>
      <w:r>
        <w:rPr>
          <w:rFonts w:hint="eastAsia" w:ascii="宋体" w:hAnsi="宋体" w:eastAsia="宋体" w:cs="宋体"/>
          <w:sz w:val="21"/>
          <w:szCs w:val="21"/>
        </w:rPr>
        <w:t xml:space="preserve">本项目采用的评审方法为：</w:t>
      </w:r>
      <w:r>
        <w:rPr>
          <w:rFonts w:hint="eastAsia" w:ascii="宋体" w:hAnsi="宋体" w:eastAsia="宋体" w:cs="宋体"/>
          <w:b/>
          <w:bCs/>
          <w:sz w:val="21"/>
          <w:szCs w:val="21"/>
        </w:rPr>
        <w:t xml:space="preserve">综合评分法</w:t>
      </w:r>
      <w:r>
        <w:rPr>
          <w:rFonts w:hint="eastAsia" w:ascii="宋体" w:hAnsi="宋体" w:eastAsia="宋体" w:cs="宋体"/>
          <w:sz w:val="21"/>
          <w:szCs w:val="21"/>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5.2</w:t>
      </w:r>
      <w:r>
        <w:rPr>
          <w:rFonts w:hint="eastAsia" w:ascii="宋体" w:hAnsi="宋体" w:eastAsia="宋体" w:cs="宋体"/>
          <w:sz w:val="21"/>
          <w:szCs w:val="21"/>
        </w:rPr>
        <w:t xml:space="preserve">竞争性磋商文件中没有规定的评审标准不得作为评审依据。</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5.3</w:t>
      </w:r>
      <w:r>
        <w:rPr>
          <w:rFonts w:hint="eastAsia" w:ascii="宋体" w:hAnsi="宋体" w:eastAsia="宋体" w:cs="宋体"/>
          <w:sz w:val="21"/>
          <w:szCs w:val="21"/>
        </w:rPr>
        <w:t xml:space="preserve">非政府强制采购的节能产品或环境标志产品，依据品目清单和认证证书实施政府优先采购。优先采购的具体规定（如涉及）</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5.4</w:t>
      </w:r>
      <w:r>
        <w:rPr>
          <w:rFonts w:hint="eastAsia" w:ascii="宋体" w:hAnsi="宋体" w:eastAsia="宋体" w:cs="宋体"/>
          <w:sz w:val="21"/>
          <w:szCs w:val="21"/>
        </w:rPr>
        <w:t xml:space="preserve">关于无线局域网认证产品政府采购清单中的产品，优先采购的具体规定（如涉及）</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确定</w:t>
      </w:r>
      <w:bookmarkStart w:id="638" w:name="_Toc127151747"/>
      <w:r/>
      <w:bookmarkStart w:id="639" w:name="_Toc150509297"/>
      <w:r/>
      <w:bookmarkStart w:id="640" w:name="_Toc127151546"/>
      <w:r/>
      <w:bookmarkStart w:id="641" w:name="_Toc265228384"/>
      <w:r/>
      <w:bookmarkStart w:id="642" w:name="_Ref467307010"/>
      <w:r/>
      <w:bookmarkStart w:id="643" w:name="_Toc305158888"/>
      <w:r/>
      <w:bookmarkStart w:id="644" w:name="_Toc151193788"/>
      <w:r/>
      <w:bookmarkStart w:id="645" w:name="_Toc520356170"/>
      <w:r/>
      <w:bookmarkStart w:id="646" w:name="_Toc164608660"/>
      <w:r/>
      <w:bookmarkStart w:id="647" w:name="_Toc127161460"/>
      <w:r/>
      <w:bookmarkStart w:id="648" w:name="_Toc226965819"/>
      <w:r/>
      <w:bookmarkStart w:id="649" w:name="_Toc142311048"/>
      <w:r/>
      <w:bookmarkStart w:id="650" w:name="_Toc226337242"/>
      <w:r/>
      <w:bookmarkStart w:id="651" w:name="_Toc150480784"/>
      <w:r/>
      <w:bookmarkStart w:id="652" w:name="_Toc151193644"/>
      <w:r/>
      <w:bookmarkStart w:id="653" w:name="_Toc264969236"/>
      <w:r/>
      <w:bookmarkStart w:id="654" w:name="_Toc151193716"/>
      <w:r/>
      <w:bookmarkStart w:id="655" w:name="_Toc164608815"/>
      <w:r/>
      <w:bookmarkStart w:id="656" w:name="_Toc151190173"/>
      <w:r/>
      <w:bookmarkStart w:id="657" w:name="_Toc151193934"/>
      <w:r/>
      <w:bookmarkStart w:id="658" w:name="_Toc226309790"/>
      <w:r/>
      <w:bookmarkStart w:id="659" w:name="_Toc150774646"/>
      <w:r/>
      <w:bookmarkStart w:id="660" w:name="_Toc150774751"/>
      <w:r/>
      <w:bookmarkStart w:id="661" w:name="_Toc195842911"/>
      <w:r/>
      <w:bookmarkStart w:id="662" w:name="_Toc164229387"/>
      <w:r/>
      <w:bookmarkStart w:id="663" w:name="_Toc151193860"/>
      <w:r/>
      <w:bookmarkStart w:id="664" w:name="_Toc305158814"/>
      <w:r/>
      <w:bookmarkStart w:id="665" w:name="_Toc149720839"/>
      <w:r/>
      <w:bookmarkStart w:id="666" w:name="_Toc164229241"/>
      <w:r/>
      <w:bookmarkStart w:id="667" w:name="_Toc226965736"/>
      <w:r/>
      <w:bookmarkStart w:id="668" w:name="_Toc164351640"/>
      <w:r>
        <w:rPr>
          <w:rFonts w:hint="eastAsia" w:ascii="宋体" w:hAnsi="宋体" w:eastAsia="宋体" w:cs="宋体"/>
          <w:sz w:val="21"/>
          <w:szCs w:val="21"/>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6.1</w:t>
      </w:r>
      <w:r>
        <w:rPr>
          <w:rFonts w:hint="eastAsia" w:ascii="宋体" w:hAnsi="宋体" w:eastAsia="宋体" w:cs="宋体"/>
          <w:sz w:val="21"/>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6.2</w:t>
      </w:r>
      <w:r>
        <w:rPr>
          <w:rFonts w:hint="eastAsia" w:ascii="宋体" w:hAnsi="宋体" w:eastAsia="宋体" w:cs="宋体"/>
          <w:sz w:val="21"/>
          <w:szCs w:val="21"/>
        </w:rPr>
        <w:t xml:space="preserve">磋商小组根据上述供应商排序，依次推荐排序前</w:t>
      </w:r>
      <w:r>
        <w:rPr>
          <w:rFonts w:hint="eastAsia" w:ascii="宋体" w:hAnsi="宋体" w:eastAsia="宋体" w:cs="宋体"/>
          <w:sz w:val="21"/>
          <w:szCs w:val="21"/>
        </w:rPr>
        <w:t xml:space="preserve">3名</w:t>
      </w:r>
      <w:r>
        <w:rPr>
          <w:rFonts w:hint="eastAsia" w:ascii="宋体" w:hAnsi="宋体" w:eastAsia="宋体" w:cs="宋体"/>
          <w:sz w:val="21"/>
          <w:szCs w:val="21"/>
        </w:rPr>
        <w:t xml:space="preserve">的供应商为</w:t>
      </w:r>
      <w:r>
        <w:rPr>
          <w:rFonts w:hint="eastAsia" w:ascii="宋体" w:hAnsi="宋体" w:eastAsia="宋体" w:cs="宋体"/>
          <w:sz w:val="21"/>
          <w:szCs w:val="21"/>
        </w:rPr>
        <w:t xml:space="preserve">成交候选供应商</w:t>
      </w:r>
      <w:r>
        <w:rPr>
          <w:rFonts w:hint="eastAsia" w:ascii="宋体" w:hAnsi="宋体" w:eastAsia="宋体" w:cs="宋体"/>
          <w:sz w:val="21"/>
          <w:szCs w:val="21"/>
        </w:rPr>
        <w:t xml:space="preserve">（若在磋商文件允许的情形下提交最终报价的供应商为二家，则依次推荐二名供应商为成交候选供应商），并编写评审报告。</w:t>
      </w:r>
      <w:r>
        <w:rPr>
          <w:rFonts w:hint="eastAsia" w:ascii="宋体" w:hAnsi="宋体" w:eastAsia="宋体" w:cs="宋体"/>
          <w:sz w:val="21"/>
          <w:szCs w:val="21"/>
        </w:rPr>
      </w:r>
      <w:r/>
    </w:p>
    <w:p>
      <w:pPr>
        <w:pStyle w:val="1197"/>
        <w:numPr>
          <w:ilvl w:val="0"/>
          <w:numId w:val="0"/>
        </w:numPr>
        <w:ind w:firstLine="420"/>
        <w:spacing w:line="360" w:lineRule="auto"/>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6.3</w:t>
      </w:r>
      <w:r>
        <w:rPr>
          <w:rFonts w:hint="eastAsia" w:ascii="宋体" w:hAnsi="宋体" w:eastAsia="宋体" w:cs="宋体"/>
          <w:sz w:val="21"/>
          <w:szCs w:val="21"/>
        </w:rPr>
        <w:t xml:space="preserve">磋商小组要对评分汇总情况进行复核，特别是对排名第一的、报价最低的、响应文件被认定为无效的情形进行重点复核。</w:t>
      </w:r>
      <w:r>
        <w:rPr>
          <w:rFonts w:hint="eastAsia" w:ascii="宋体" w:hAnsi="宋体" w:eastAsia="宋体" w:cs="宋体"/>
          <w:sz w:val="21"/>
          <w:szCs w:val="21"/>
        </w:rPr>
      </w:r>
      <w:r/>
    </w:p>
    <w:p>
      <w:pPr>
        <w:pStyle w:val="1197"/>
        <w:numPr>
          <w:ilvl w:val="0"/>
          <w:numId w:val="0"/>
        </w:numPr>
        <w:ind w:firstLine="21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报告违法行为</w:t>
      </w:r>
      <w:r>
        <w:rPr>
          <w:rFonts w:hint="eastAsia" w:ascii="宋体" w:hAnsi="宋体" w:eastAsia="宋体" w:cs="宋体"/>
          <w:sz w:val="21"/>
          <w:szCs w:val="21"/>
        </w:rPr>
      </w:r>
      <w:r/>
    </w:p>
    <w:p>
      <w:pPr>
        <w:pStyle w:val="1197"/>
        <w:numPr>
          <w:ilvl w:val="0"/>
          <w:numId w:val="0"/>
        </w:numPr>
        <w:ind w:firstLine="420"/>
        <w:jc w:val="left"/>
        <w:spacing w:line="360" w:lineRule="auto"/>
        <w:widowControl/>
        <w:tabs>
          <w:tab w:val="left" w:pos="1080" w:leader="none"/>
          <w:tab w:val="left" w:pos="1872"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7.1</w:t>
      </w:r>
      <w:r>
        <w:rPr>
          <w:rFonts w:hint="eastAsia" w:ascii="宋体" w:hAnsi="宋体" w:eastAsia="宋体" w:cs="宋体"/>
          <w:sz w:val="21"/>
          <w:szCs w:val="21"/>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sz w:val="21"/>
          <w:szCs w:val="21"/>
        </w:rPr>
      </w:r>
      <w:r/>
    </w:p>
    <w:p>
      <w:pPr>
        <w:pStyle w:val="1199"/>
        <w:rPr>
          <w:rFonts w:hint="eastAsia" w:ascii="宋体" w:hAnsi="宋体" w:eastAsia="宋体" w:cs="宋体"/>
          <w:sz w:val="21"/>
          <w:szCs w:val="21"/>
        </w:rPr>
      </w:pPr>
      <w:r>
        <w:rPr>
          <w:rFonts w:hint="eastAsia" w:ascii="宋体" w:hAnsi="宋体" w:eastAsia="宋体" w:cs="宋体"/>
          <w:sz w:val="21"/>
          <w:szCs w:val="21"/>
        </w:rPr>
      </w:r>
      <w:r/>
    </w:p>
    <w:p>
      <w:pPr>
        <w:pStyle w:val="1197"/>
        <w:rPr>
          <w:rFonts w:hint="eastAsia" w:ascii="宋体" w:hAnsi="宋体" w:eastAsia="宋体" w:cs="宋体"/>
          <w:sz w:val="21"/>
          <w:szCs w:val="21"/>
        </w:rPr>
      </w:pPr>
      <w:r>
        <w:rPr>
          <w:rFonts w:hint="eastAsia" w:ascii="宋体" w:hAnsi="宋体" w:eastAsia="宋体" w:cs="宋体"/>
          <w:sz w:val="21"/>
          <w:szCs w:val="21"/>
        </w:rPr>
      </w:r>
      <w:r/>
    </w:p>
    <w:p>
      <w:pPr>
        <w:pStyle w:val="1199"/>
        <w:rPr>
          <w:rFonts w:hint="eastAsia" w:ascii="宋体" w:hAnsi="宋体" w:eastAsia="宋体" w:cs="宋体"/>
          <w:sz w:val="21"/>
          <w:szCs w:val="21"/>
        </w:rPr>
      </w:pPr>
      <w:r>
        <w:rPr>
          <w:rFonts w:hint="eastAsia" w:ascii="宋体" w:hAnsi="宋体" w:eastAsia="宋体" w:cs="宋体"/>
          <w:sz w:val="21"/>
          <w:szCs w:val="21"/>
        </w:rPr>
      </w:r>
      <w:r/>
    </w:p>
    <w:p>
      <w:pPr>
        <w:pStyle w:val="1197"/>
        <w:rPr>
          <w:rFonts w:hint="eastAsia" w:ascii="宋体" w:hAnsi="宋体" w:eastAsia="宋体" w:cs="宋体"/>
          <w:sz w:val="21"/>
          <w:szCs w:val="21"/>
        </w:rPr>
      </w:pPr>
      <w:r>
        <w:rPr>
          <w:rFonts w:hint="eastAsia" w:ascii="宋体" w:hAnsi="宋体" w:eastAsia="宋体" w:cs="宋体"/>
          <w:sz w:val="21"/>
          <w:szCs w:val="21"/>
        </w:rPr>
      </w:r>
      <w:r/>
    </w:p>
    <w:p>
      <w:pPr>
        <w:pStyle w:val="1267"/>
        <w:rPr>
          <w:rFonts w:hint="eastAsia"/>
        </w:rPr>
      </w:pPr>
      <w:r>
        <w:rPr>
          <w:rFonts w:hint="eastAsia"/>
        </w:rPr>
      </w:r>
      <w:r/>
    </w:p>
    <w:p>
      <w:pPr>
        <w:pStyle w:val="1197"/>
      </w:pPr>
      <w:r/>
      <w:r/>
    </w:p>
    <w:p>
      <w:pPr>
        <w:pStyle w:val="1197"/>
        <w:rPr>
          <w:rFonts w:ascii="Times New Roman" w:hAnsi="Times New Roman" w:eastAsia="宋体"/>
          <w:sz w:val="24"/>
          <w:szCs w:val="24"/>
        </w:rPr>
      </w:pPr>
      <w:r>
        <w:rPr>
          <w:rFonts w:ascii="Times New Roman" w:hAnsi="Times New Roman" w:eastAsia="宋体"/>
          <w:sz w:val="24"/>
          <w:szCs w:val="24"/>
        </w:rPr>
      </w:r>
      <w:r/>
    </w:p>
    <w:p>
      <w:pPr>
        <w:pStyle w:val="1199"/>
        <w:jc w:val="center"/>
        <w:spacing w:before="0" w:line="360" w:lineRule="auto"/>
        <w:rPr>
          <w:rFonts w:ascii="Times New Roman" w:hAnsi="Times New Roman" w:eastAsia="宋体"/>
          <w:sz w:val="28"/>
          <w:szCs w:val="28"/>
          <w:highlight w:val="none"/>
        </w:rPr>
      </w:pPr>
      <w:r>
        <w:rPr>
          <w:rFonts w:ascii="Times New Roman" w:hAnsi="Times New Roman" w:eastAsia="宋体"/>
          <w:sz w:val="28"/>
          <w:szCs w:val="28"/>
          <w:highlight w:val="none"/>
        </w:rPr>
        <w:br w:type="page" w:clear="all"/>
      </w:r>
      <w:r>
        <w:rPr>
          <w:rFonts w:ascii="Times New Roman" w:hAnsi="Times New Roman" w:eastAsia="宋体"/>
          <w:sz w:val="28"/>
          <w:szCs w:val="28"/>
          <w:highlight w:val="none"/>
        </w:rPr>
        <w:t xml:space="preserve">二、评</w:t>
      </w:r>
      <w:r>
        <w:rPr>
          <w:rFonts w:hint="eastAsia" w:ascii="Times New Roman" w:hAnsi="Times New Roman" w:eastAsia="宋体"/>
          <w:sz w:val="28"/>
          <w:szCs w:val="28"/>
          <w:highlight w:val="none"/>
        </w:rPr>
        <w:t xml:space="preserve">审</w:t>
      </w:r>
      <w:r>
        <w:rPr>
          <w:rFonts w:ascii="Times New Roman" w:hAnsi="Times New Roman" w:eastAsia="宋体"/>
          <w:sz w:val="28"/>
          <w:szCs w:val="28"/>
          <w:highlight w:val="none"/>
        </w:rPr>
        <w:t xml:space="preserve">标准</w:t>
      </w:r>
      <w:r>
        <w:rPr>
          <w:rFonts w:ascii="Times New Roman" w:hAnsi="Times New Roman" w:eastAsia="宋体"/>
          <w:sz w:val="28"/>
          <w:szCs w:val="28"/>
          <w:highlight w:val="none"/>
        </w:rPr>
      </w:r>
      <w:r/>
    </w:p>
    <w:tbl>
      <w:tblPr>
        <w:tblpPr w:horzAnchor="page" w:tblpX="1698" w:vertAnchor="text" w:tblpY="185" w:leftFromText="180" w:topFromText="0" w:rightFromText="180" w:bottomFromText="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397"/>
        <w:gridCol w:w="684"/>
        <w:gridCol w:w="4380"/>
        <w:gridCol w:w="2456"/>
      </w:tblGrid>
      <w:tr>
        <w:trPr>
          <w:trHeight w:val="454"/>
        </w:trPr>
        <w:tc>
          <w:tcPr>
            <w:tcW w:w="711" w:type="dxa"/>
            <w:vAlign w:val="center"/>
            <w:textDirection w:val="lrTb"/>
            <w:noWrap w:val="false"/>
          </w:tcPr>
          <w:p>
            <w:pPr>
              <w:pStyle w:val="1197"/>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397" w:type="dxa"/>
            <w:vAlign w:val="center"/>
            <w:textDirection w:val="lrTb"/>
            <w:noWrap w:val="false"/>
          </w:tcPr>
          <w:p>
            <w:pPr>
              <w:pStyle w:val="1197"/>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4" w:type="dxa"/>
            <w:vAlign w:val="center"/>
            <w:textDirection w:val="lrTb"/>
            <w:noWrap w:val="false"/>
          </w:tcPr>
          <w:p>
            <w:pPr>
              <w:pStyle w:val="1197"/>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380" w:type="dxa"/>
            <w:vAlign w:val="center"/>
            <w:textDirection w:val="lrTb"/>
            <w:noWrap w:val="false"/>
          </w:tcPr>
          <w:p>
            <w:pPr>
              <w:pStyle w:val="1197"/>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456" w:type="dxa"/>
            <w:vAlign w:val="center"/>
            <w:textDirection w:val="lrTb"/>
            <w:noWrap w:val="false"/>
          </w:tcPr>
          <w:p>
            <w:pPr>
              <w:pStyle w:val="1447"/>
              <w:spacing w:before="0" w:after="0" w:line="240" w:lineRule="auto"/>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711" w:type="dxa"/>
            <w:vAlign w:val="center"/>
            <w:textDirection w:val="lrTb"/>
            <w:noWrap w:val="false"/>
          </w:tcPr>
          <w:p>
            <w:pPr>
              <w:pStyle w:val="1197"/>
              <w:ind w:firstLine="28"/>
              <w:jc w:val="center"/>
              <w:rPr>
                <w:rFonts w:hint="eastAsia" w:ascii="宋体" w:hAnsi="宋体" w:eastAsia="宋体" w:cs="宋体"/>
                <w:b/>
                <w:color w:val="000000"/>
                <w:sz w:val="21"/>
                <w:szCs w:val="21"/>
                <w:highlight w:val="none"/>
                <w:lang w:val="en-US" w:eastAsia="zh-CN"/>
              </w:rPr>
              <w:framePr w:vAnchor="text" w:hAnchor="page" w:x="1698" w:y="185"/>
            </w:pP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r>
            <w:r/>
          </w:p>
        </w:tc>
        <w:tc>
          <w:tcPr>
            <w:gridSpan w:val="4"/>
            <w:tcW w:w="8917" w:type="dxa"/>
            <w:vAlign w:val="center"/>
            <w:textDirection w:val="lrTb"/>
            <w:noWrap w:val="false"/>
          </w:tcPr>
          <w:p>
            <w:pPr>
              <w:pStyle w:val="1197"/>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10分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r>
      <w:tr>
        <w:trPr>
          <w:trHeight w:val="631"/>
        </w:trPr>
        <w:tc>
          <w:tcPr>
            <w:tcW w:w="711" w:type="dxa"/>
            <w:vAlign w:val="center"/>
            <w:textDirection w:val="lrTb"/>
            <w:noWrap w:val="false"/>
          </w:tcPr>
          <w:p>
            <w:pPr>
              <w:pStyle w:val="1197"/>
              <w:ind w:firstLine="28"/>
              <w:jc w:val="center"/>
              <w:rPr>
                <w:rFonts w:hint="eastAsia" w:ascii="宋体" w:hAnsi="宋体" w:eastAsia="宋体" w:cs="宋体"/>
                <w:b/>
                <w:color w:val="000000"/>
                <w:sz w:val="21"/>
                <w:szCs w:val="21"/>
                <w:highlight w:val="none"/>
                <w:lang w:val="en-US" w:eastAsia="zh-CN"/>
              </w:rPr>
              <w:framePr w:vAnchor="text" w:hAnchor="page" w:x="1698" w:y="185"/>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r>
            <w:r/>
          </w:p>
        </w:tc>
        <w:tc>
          <w:tcPr>
            <w:tcW w:w="1397"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eastAsia="zh-CN"/>
              </w:rPr>
            </w:r>
            <w:r/>
          </w:p>
        </w:tc>
        <w:tc>
          <w:tcPr>
            <w:tcW w:w="684"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197"/>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highlight w:val="none"/>
                <w:lang w:val="en-US" w:eastAsia="zh-CN"/>
              </w:rPr>
            </w:r>
            <w:r/>
          </w:p>
          <w:p>
            <w:pPr>
              <w:pStyle w:val="1197"/>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价格分得分＝（评标基准价/最终报价）×分值。</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197"/>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p>
            <w:pPr>
              <w:pStyle w:val="1197"/>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注：此处最终报价指经过报价修正后的最终报价。</w:t>
            </w:r>
            <w:r>
              <w:rPr>
                <w:rFonts w:hint="eastAsia" w:ascii="宋体" w:hAnsi="宋体" w:eastAsia="宋体" w:cs="宋体"/>
                <w:b/>
                <w:bCs/>
                <w:color w:val="000000"/>
                <w:sz w:val="21"/>
                <w:szCs w:val="21"/>
                <w:highlight w:val="none"/>
              </w:rPr>
            </w:r>
            <w:r/>
          </w:p>
          <w:p>
            <w:pPr>
              <w:pStyle w:val="1197"/>
              <w:jc w:val="left"/>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r>
            <w:r/>
          </w:p>
        </w:tc>
      </w:tr>
      <w:tr>
        <w:trPr>
          <w:trHeight w:val="217"/>
        </w:trPr>
        <w:tc>
          <w:tcPr>
            <w:tcW w:w="711" w:type="dxa"/>
            <w:vAlign w:val="center"/>
            <w:textDirection w:val="lrTb"/>
            <w:noWrap w:val="false"/>
          </w:tcPr>
          <w:p>
            <w:pPr>
              <w:pStyle w:val="1197"/>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4"/>
            <w:tcW w:w="8917" w:type="dxa"/>
            <w:vAlign w:val="center"/>
            <w:textDirection w:val="lrTb"/>
            <w:noWrap w:val="false"/>
          </w:tcPr>
          <w:p>
            <w:pPr>
              <w:pStyle w:val="1197"/>
              <w:ind w:left="-38"/>
              <w:jc w:val="center"/>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b/>
                <w:bCs/>
                <w:color w:val="000000"/>
                <w:sz w:val="21"/>
                <w:szCs w:val="21"/>
                <w:highlight w:val="none"/>
                <w:lang w:val="en-US" w:eastAsia="zh-CN"/>
              </w:rPr>
              <w:t xml:space="preserve">客观分（10分）</w:t>
            </w:r>
            <w:r>
              <w:rPr>
                <w:rFonts w:hint="eastAsia" w:ascii="宋体" w:hAnsi="宋体" w:eastAsia="宋体" w:cs="宋体"/>
                <w:color w:val="000000"/>
                <w:sz w:val="21"/>
                <w:szCs w:val="21"/>
                <w:highlight w:val="none"/>
                <w:lang w:eastAsia="zh-CN"/>
              </w:rPr>
            </w:r>
            <w:r/>
          </w:p>
        </w:tc>
      </w:tr>
      <w:tr>
        <w:trPr>
          <w:trHeight w:val="1519"/>
        </w:trPr>
        <w:tc>
          <w:tcPr>
            <w:tcW w:w="711"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197"/>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类似业绩</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197"/>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供应商自</w:t>
            </w:r>
            <w:r>
              <w:rPr>
                <w:rFonts w:hint="eastAsia" w:ascii="宋体" w:hAnsi="宋体" w:eastAsia="宋体" w:cs="宋体"/>
                <w:b/>
                <w:bCs/>
                <w:color w:val="000000"/>
                <w:highlight w:val="none"/>
                <w:lang w:val="en-US" w:eastAsia="zh-CN"/>
              </w:rPr>
              <w:t xml:space="preserve">2022年10月</w:t>
            </w:r>
            <w:r>
              <w:rPr>
                <w:rFonts w:hint="eastAsia" w:ascii="宋体" w:hAnsi="宋体" w:eastAsia="宋体" w:cs="宋体"/>
                <w:color w:val="000000"/>
                <w:highlight w:val="none"/>
                <w:lang w:val="en-US" w:eastAsia="zh-CN"/>
              </w:rPr>
              <w:t xml:space="preserve">（以合同签订时间为准）以来承接过类似项目业绩，每个项目得2分，本项最高得2分。</w:t>
            </w:r>
            <w:r>
              <w:rPr>
                <w:rFonts w:hint="eastAsia" w:ascii="宋体" w:hAnsi="宋体" w:eastAsia="宋体" w:cs="宋体"/>
                <w:color w:val="000000"/>
                <w:highlight w:val="none"/>
                <w:lang w:val="en-US" w:eastAsia="zh-CN"/>
              </w:rPr>
            </w:r>
            <w:r/>
          </w:p>
          <w:p>
            <w:pPr>
              <w:pStyle w:val="1197"/>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b/>
                <w:bCs/>
                <w:color w:val="000000"/>
                <w:sz w:val="21"/>
                <w:szCs w:val="21"/>
                <w:highlight w:val="none"/>
                <w:lang w:val="en-US" w:eastAsia="zh-CN" w:bidi="ar"/>
              </w:rPr>
              <w:t xml:space="preserve">注：同一供应商在不同年份对同一业主提供的同一项目业绩不重复计分，仅按一份计算。</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197"/>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磋商响应文件中提供</w:t>
            </w:r>
            <w:r>
              <w:rPr>
                <w:rFonts w:hint="eastAsia"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Cs w:val="21"/>
                <w:highlight w:val="none"/>
              </w:rPr>
              <w:t xml:space="preserve">（合同需体现双方盖章、签订时间、关键页等内容。）</w:t>
            </w:r>
            <w:r>
              <w:rPr>
                <w:rFonts w:hint="eastAsia" w:ascii="宋体" w:hAnsi="宋体" w:eastAsia="宋体" w:cs="宋体"/>
                <w:b/>
                <w:bCs/>
                <w:color w:val="000000"/>
                <w:sz w:val="21"/>
                <w:szCs w:val="21"/>
                <w:highlight w:val="none"/>
                <w:lang w:val="en-US" w:eastAsia="zh-CN"/>
              </w:rPr>
              <w:t xml:space="preserve">原件</w:t>
            </w:r>
            <w:r>
              <w:rPr>
                <w:rFonts w:hint="eastAsia" w:ascii="宋体" w:hAnsi="宋体" w:eastAsia="宋体" w:cs="宋体"/>
                <w:b/>
                <w:bCs/>
                <w:color w:val="000000"/>
                <w:sz w:val="21"/>
                <w:szCs w:val="21"/>
                <w:highlight w:val="none"/>
              </w:rPr>
              <w:t xml:space="preserve">扫描件，未提供的或</w:t>
            </w:r>
            <w:r>
              <w:rPr>
                <w:rFonts w:hint="eastAsia" w:ascii="宋体" w:hAnsi="宋体" w:eastAsia="宋体" w:cs="宋体"/>
                <w:b/>
                <w:bCs/>
                <w:color w:val="000000"/>
                <w:sz w:val="21"/>
                <w:szCs w:val="21"/>
                <w:highlight w:val="none"/>
                <w:lang w:val="en-US" w:eastAsia="zh-CN"/>
              </w:rPr>
              <w:t xml:space="preserve">材料</w:t>
            </w:r>
            <w:r>
              <w:rPr>
                <w:rFonts w:hint="eastAsia" w:ascii="宋体" w:hAnsi="宋体" w:eastAsia="宋体" w:cs="宋体"/>
                <w:b/>
                <w:bCs/>
                <w:color w:val="000000"/>
                <w:sz w:val="21"/>
                <w:szCs w:val="21"/>
                <w:highlight w:val="none"/>
              </w:rPr>
              <w:t xml:space="preserve">不全的或无效的不得分。</w:t>
            </w:r>
            <w:r>
              <w:rPr>
                <w:rFonts w:hint="eastAsia" w:ascii="宋体" w:hAnsi="宋体" w:eastAsia="宋体" w:cs="宋体"/>
                <w:b/>
                <w:bCs/>
                <w:color w:val="000000"/>
                <w:sz w:val="21"/>
                <w:szCs w:val="21"/>
                <w:highlight w:val="none"/>
              </w:rPr>
            </w:r>
            <w:r/>
          </w:p>
        </w:tc>
      </w:tr>
      <w:tr>
        <w:trPr>
          <w:trHeight w:val="969"/>
        </w:trPr>
        <w:tc>
          <w:tcPr>
            <w:tcW w:w="711"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197"/>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体系认证</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197"/>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供应商具有有效的质量管理体系、环境管理体系、职业健康安全管理体系认证证书有一项得2分，最高得6分。</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197"/>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lang w:val="en-US" w:eastAsia="zh-CN"/>
              </w:rPr>
              <w:t xml:space="preserve">磋商响应文件中提供相应证书原件扫描件及全国认证认可信息公共服务平台查询有效的网页截图，未提供的或资料不全的或无效的不得分。</w:t>
            </w:r>
            <w:r>
              <w:rPr>
                <w:rFonts w:hint="eastAsia" w:ascii="宋体" w:hAnsi="宋体" w:eastAsia="宋体" w:cs="宋体"/>
                <w:b/>
                <w:bCs/>
                <w:color w:val="000000"/>
                <w:sz w:val="21"/>
                <w:szCs w:val="21"/>
                <w:highlight w:val="none"/>
              </w:rPr>
            </w:r>
            <w:r/>
          </w:p>
        </w:tc>
      </w:tr>
      <w:tr>
        <w:trPr>
          <w:trHeight w:val="1921"/>
        </w:trPr>
        <w:tc>
          <w:tcPr>
            <w:tcW w:w="711"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197"/>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项目团队实力</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197"/>
              <w:ind w:firstLine="28"/>
              <w:jc w:val="both"/>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本项目拟配备人员中具有安全生产管理证书的得2分，本项最高得2分。</w:t>
            </w:r>
            <w:r>
              <w:rPr>
                <w:rFonts w:hint="eastAsia" w:ascii="宋体" w:hAnsi="宋体" w:eastAsia="宋体" w:cs="宋体"/>
                <w:b/>
                <w:bCs/>
                <w:color w:val="000000"/>
                <w:highlight w:val="none"/>
                <w:lang w:val="en-US" w:eastAsia="zh-CN"/>
              </w:rPr>
              <w:t xml:space="preserve">【提供安全管理职能部门（或其下属单位）的安全培训合格证明材料</w:t>
            </w:r>
            <w:r>
              <w:rPr>
                <w:rFonts w:hint="eastAsia" w:ascii="宋体" w:hAnsi="宋体" w:eastAsia="宋体" w:cs="宋体"/>
                <w:b/>
                <w:bCs/>
                <w:color w:val="000000"/>
                <w:highlight w:val="none"/>
                <w:lang w:val="en-US" w:eastAsia="zh-CN"/>
              </w:rPr>
              <w:t xml:space="preserve">】</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197"/>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磋商响应文件中提供相应证书原件扫描件及供应商近三个月中任意1个月（自磋商之日往前推）为相关人员缴纳的社保证明扫描件，未提供的或资料不全的或无效的不得分。</w:t>
            </w:r>
            <w:r>
              <w:rPr>
                <w:rFonts w:hint="eastAsia" w:ascii="宋体" w:hAnsi="宋体" w:eastAsia="宋体" w:cs="宋体"/>
                <w:b/>
                <w:bCs/>
                <w:color w:val="000000"/>
                <w:sz w:val="21"/>
                <w:szCs w:val="21"/>
                <w:highlight w:val="none"/>
              </w:rPr>
            </w:r>
            <w:r/>
          </w:p>
        </w:tc>
      </w:tr>
      <w:tr>
        <w:trPr>
          <w:trHeight w:val="298"/>
        </w:trPr>
        <w:tc>
          <w:tcPr>
            <w:tcW w:w="711" w:type="dxa"/>
            <w:vAlign w:val="center"/>
            <w:textDirection w:val="lrTb"/>
            <w:noWrap w:val="false"/>
          </w:tcPr>
          <w:p>
            <w:pPr>
              <w:pStyle w:val="1197"/>
              <w:ind w:firstLine="28"/>
              <w:jc w:val="center"/>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gridSpan w:val="4"/>
            <w:tcW w:w="8917" w:type="dxa"/>
            <w:vAlign w:val="center"/>
            <w:textDirection w:val="lrTb"/>
            <w:noWrap w:val="false"/>
          </w:tcPr>
          <w:p>
            <w:pPr>
              <w:pStyle w:val="1197"/>
              <w:ind w:left="-38"/>
              <w:jc w:val="center"/>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lang w:val="en-US" w:eastAsia="zh-CN"/>
              </w:rPr>
              <w:t xml:space="preserve">主观分（80分）</w:t>
            </w:r>
            <w:r>
              <w:rPr>
                <w:rFonts w:hint="eastAsia" w:ascii="宋体" w:hAnsi="宋体" w:eastAsia="宋体" w:cs="宋体"/>
                <w:b/>
                <w:bCs/>
                <w:color w:val="000000"/>
                <w:sz w:val="21"/>
                <w:szCs w:val="21"/>
                <w:highlight w:val="none"/>
              </w:rPr>
            </w:r>
            <w:r/>
          </w:p>
        </w:tc>
      </w:tr>
      <w:tr>
        <w:trPr>
          <w:trHeight w:val="1773"/>
        </w:trPr>
        <w:tc>
          <w:tcPr>
            <w:tcW w:w="711"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197"/>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人员培训</w:t>
            </w:r>
            <w:r>
              <w:rPr>
                <w:rFonts w:hint="eastAsia" w:ascii="宋体" w:hAnsi="宋体" w:eastAsia="宋体" w:cs="宋体"/>
                <w:color w:val="000000"/>
                <w:highlight w:val="none"/>
                <w:lang w:val="en-US" w:eastAsia="zh-CN"/>
              </w:rPr>
            </w:r>
            <w:r/>
          </w:p>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sz w:val="21"/>
                <w:szCs w:val="21"/>
                <w:highlight w:val="none"/>
                <w:lang w:val="en-US" w:eastAsia="zh-CN"/>
              </w:rPr>
            </w:r>
            <w:r/>
          </w:p>
        </w:tc>
        <w:tc>
          <w:tcPr>
            <w:tcW w:w="684" w:type="dxa"/>
            <w:vAlign w:val="center"/>
            <w:textDirection w:val="lrTb"/>
            <w:noWrap w:val="false"/>
          </w:tcPr>
          <w:p>
            <w:pPr>
              <w:pStyle w:val="1197"/>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197"/>
              <w:numPr>
                <w:ilvl w:val="0"/>
                <w:numId w:val="0"/>
              </w:numPr>
              <w:ind w:left="0" w:firstLine="0"/>
              <w:jc w:val="left"/>
              <w:widowControl/>
              <w:tabs>
                <w:tab w:val="left" w:pos="1200" w:leader="none"/>
              </w:tabs>
              <w:rPr>
                <w:rFonts w:hint="eastAsia" w:ascii="宋体" w:hAnsi="宋体" w:cs="宋体"/>
                <w:color w:val="000000"/>
                <w:szCs w:val="21"/>
                <w:highlight w:val="none"/>
              </w:rPr>
              <w:framePr w:vAnchor="text" w:hAnchor="page" w:x="1698" w:y="185"/>
            </w:pP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需根据项目内容提供人员培训方案</w:t>
            </w:r>
            <w:r>
              <w:rPr>
                <w:rFonts w:hint="eastAsia" w:ascii="宋体" w:hAnsi="宋体" w:cs="宋体"/>
                <w:color w:val="000000"/>
                <w:szCs w:val="21"/>
                <w:highlight w:val="none"/>
                <w:lang w:eastAsia="zh-CN"/>
              </w:rPr>
              <w:t xml:space="preserve">，涵盖培训目标、内容、形式、实施计划及效果评估等模块</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97"/>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内容描述完整、可行、符合本项目特点的得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197"/>
              <w:numPr>
                <w:ilvl w:val="0"/>
                <w:numId w:val="0"/>
              </w:numPr>
              <w:ind w:left="0" w:firstLine="0"/>
              <w:jc w:val="left"/>
              <w:widowControl/>
              <w:tabs>
                <w:tab w:val="left" w:pos="1200" w:leader="none"/>
              </w:tabs>
              <w:rPr>
                <w:rFonts w:hint="eastAsia" w:ascii="宋体" w:hAnsi="宋体" w:cs="宋体"/>
                <w:color w:val="000000"/>
                <w:sz w:val="21"/>
                <w:szCs w:val="21"/>
                <w:highlight w:val="none"/>
                <w:lang w:val="en-US" w:eastAsia="zh-CN" w:bidi="ar-SA"/>
              </w:rPr>
              <w:framePr w:vAnchor="text" w:hAnchor="page" w:x="1698" w:y="185"/>
            </w:pP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内容描述</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完整可行、</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符合本项目特点的得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 w:val="21"/>
                <w:szCs w:val="21"/>
                <w:highlight w:val="none"/>
                <w:lang w:val="en-US" w:eastAsia="zh-CN" w:bidi="ar-SA"/>
              </w:rPr>
            </w:r>
            <w:r/>
          </w:p>
          <w:p>
            <w:pPr>
              <w:pStyle w:val="1197"/>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（3）</w:t>
            </w:r>
            <w:r>
              <w:rPr>
                <w:rFonts w:hint="eastAsia" w:ascii="宋体" w:hAnsi="宋体" w:cs="宋体"/>
                <w:color w:val="000000"/>
                <w:szCs w:val="21"/>
                <w:highlight w:val="none"/>
              </w:rPr>
              <w:t xml:space="preserve">描述基本完整可行的得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197"/>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（4）</w:t>
            </w:r>
            <w:r>
              <w:rPr>
                <w:rFonts w:hint="eastAsia" w:ascii="宋体" w:hAnsi="宋体" w:cs="宋体"/>
                <w:color w:val="000000"/>
                <w:szCs w:val="21"/>
                <w:highlight w:val="none"/>
              </w:rPr>
              <w:t xml:space="preserve">针对性欠缺、描述一般的得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197"/>
              <w:numPr>
                <w:ilvl w:val="0"/>
                <w:numId w:val="0"/>
              </w:numPr>
              <w:ind w:left="0" w:firstLine="0"/>
              <w:jc w:val="left"/>
              <w:widowControl/>
              <w:tabs>
                <w:tab w:val="left" w:pos="1200" w:leader="none"/>
              </w:tabs>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197"/>
              <w:spacing w:line="300" w:lineRule="exact"/>
              <w:rPr>
                <w:rFonts w:hint="eastAsia" w:ascii="宋体" w:hAnsi="宋体" w:eastAsia="宋体" w:cs="宋体"/>
                <w:color w:val="000000"/>
                <w:szCs w:val="21"/>
                <w:highlight w:val="none"/>
                <w:lang w:val="en-US" w:eastAsia="zh-CN"/>
              </w:rPr>
              <w:framePr w:vAnchor="text" w:hAnchor="page" w:x="1698" w:y="185"/>
            </w:pPr>
            <w:r>
              <w:rPr>
                <w:rFonts w:hint="eastAsia" w:ascii="宋体" w:hAnsi="宋体" w:eastAsia="宋体" w:cs="宋体"/>
                <w:color w:val="000000"/>
                <w:szCs w:val="21"/>
                <w:highlight w:val="none"/>
                <w:lang w:val="en-US" w:eastAsia="zh-CN"/>
              </w:rPr>
            </w:r>
            <w:r/>
          </w:p>
          <w:p>
            <w:pPr>
              <w:pStyle w:val="1197"/>
              <w:ind w:left="-38"/>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color w:val="000000"/>
                <w:sz w:val="21"/>
                <w:szCs w:val="21"/>
                <w:highlight w:val="none"/>
                <w:lang w:eastAsia="zh-CN"/>
              </w:rPr>
            </w:r>
            <w:r/>
          </w:p>
        </w:tc>
      </w:tr>
      <w:tr>
        <w:trPr>
          <w:trHeight w:val="276"/>
        </w:trPr>
        <w:tc>
          <w:tcPr>
            <w:tcW w:w="711"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197"/>
              <w:ind w:firstLine="28"/>
              <w:jc w:val="center"/>
              <w:rPr>
                <w:rFonts w:hint="eastAsia" w:ascii="宋体" w:hAnsi="宋体" w:eastAsia="宋体" w:cs="宋体"/>
                <w:b w:val="0"/>
                <w:color w:val="000000"/>
                <w:sz w:val="21"/>
                <w:szCs w:val="21"/>
                <w:highlight w:val="none"/>
                <w:lang w:val="en-US" w:eastAsia="zh-CN" w:bidi="ar-SA"/>
              </w:rPr>
              <w:framePr w:vAnchor="text" w:hAnchor="page" w:x="1698" w:y="185"/>
            </w:pPr>
            <w:r>
              <w:rPr>
                <w:rFonts w:hint="eastAsia" w:ascii="宋体" w:hAnsi="宋体" w:eastAsia="宋体" w:cs="宋体"/>
                <w:color w:val="000000"/>
                <w:highlight w:val="none"/>
                <w:lang w:val="en-US" w:eastAsia="zh-CN"/>
              </w:rPr>
              <w:t xml:space="preserve">清扫保洁作业方案</w:t>
            </w:r>
            <w:r>
              <w:rPr>
                <w:rFonts w:hint="eastAsia" w:ascii="宋体" w:hAnsi="宋体" w:eastAsia="宋体" w:cs="宋体"/>
                <w:b w:val="0"/>
                <w:color w:val="000000"/>
                <w:sz w:val="21"/>
                <w:szCs w:val="21"/>
                <w:highlight w:val="none"/>
                <w:lang w:val="en-US" w:eastAsia="zh-CN" w:bidi="ar-SA"/>
              </w:rPr>
            </w:r>
            <w:r/>
          </w:p>
        </w:tc>
        <w:tc>
          <w:tcPr>
            <w:tcW w:w="684"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197"/>
              <w:jc w:val="left"/>
              <w:widowControl/>
              <w:rPr>
                <w:rFonts w:hint="eastAsia" w:ascii="宋体" w:hAnsi="宋体" w:cs="宋体"/>
                <w:b w:val="0"/>
                <w:bCs w:val="0"/>
                <w:sz w:val="21"/>
                <w:szCs w:val="21"/>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需根据项目内容提供清扫保洁作业方案应包括：日常人工清扫保洁工作计划；清扫作业流程等</w:t>
            </w:r>
            <w:r>
              <w:rPr>
                <w:rFonts w:hint="eastAsia" w:ascii="宋体" w:hAnsi="宋体" w:eastAsia="宋体" w:cs="宋体"/>
                <w:b w:val="0"/>
                <w:bCs w:val="0"/>
                <w:sz w:val="21"/>
                <w:szCs w:val="21"/>
                <w:lang w:eastAsia="zh-CN"/>
              </w:rPr>
              <w:t xml:space="preserve">，</w:t>
            </w:r>
            <w:r>
              <w:rPr>
                <w:rFonts w:hint="eastAsia" w:ascii="宋体" w:hAnsi="宋体" w:cs="宋体"/>
                <w:b w:val="0"/>
                <w:bCs w:val="0"/>
                <w:sz w:val="21"/>
                <w:szCs w:val="21"/>
              </w:rPr>
              <w:t xml:space="preserve">内容符合本项目实际需求制定方案。</w:t>
            </w:r>
            <w:r>
              <w:rPr>
                <w:rFonts w:hint="eastAsia" w:ascii="宋体" w:hAnsi="宋体" w:cs="宋体"/>
                <w:b w:val="0"/>
                <w:bCs w:val="0"/>
                <w:sz w:val="21"/>
                <w:szCs w:val="21"/>
              </w:rPr>
            </w:r>
            <w:r/>
          </w:p>
          <w:p>
            <w:pPr>
              <w:pStyle w:val="1197"/>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内容描述完整、可行、符合本项目特点的得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197"/>
              <w:numPr>
                <w:ilvl w:val="0"/>
                <w:numId w:val="0"/>
              </w:numPr>
              <w:ind w:left="0" w:firstLine="0"/>
              <w:jc w:val="left"/>
              <w:widowControl/>
              <w:tabs>
                <w:tab w:val="left" w:pos="1200" w:leader="none"/>
              </w:tabs>
              <w:rPr>
                <w:rFonts w:hint="eastAsia" w:ascii="宋体" w:hAnsi="宋体" w:cs="宋体"/>
                <w:color w:val="000000"/>
                <w:sz w:val="21"/>
                <w:szCs w:val="21"/>
                <w:highlight w:val="none"/>
                <w:lang w:val="en-US" w:eastAsia="zh-CN" w:bidi="ar-SA"/>
              </w:rPr>
              <w:framePr w:vAnchor="text" w:hAnchor="page" w:x="1698" w:y="185"/>
            </w:pP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内容描述</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完整可行、</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符合本项目特点的得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 w:val="21"/>
                <w:szCs w:val="21"/>
                <w:highlight w:val="none"/>
                <w:lang w:val="en-US" w:eastAsia="zh-CN" w:bidi="ar-SA"/>
              </w:rPr>
            </w:r>
            <w:r/>
          </w:p>
          <w:p>
            <w:pPr>
              <w:pStyle w:val="1197"/>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（3）</w:t>
            </w:r>
            <w:r>
              <w:rPr>
                <w:rFonts w:hint="eastAsia" w:ascii="宋体" w:hAnsi="宋体" w:cs="宋体"/>
                <w:color w:val="000000"/>
                <w:szCs w:val="21"/>
                <w:highlight w:val="none"/>
              </w:rPr>
              <w:t xml:space="preserve">描述基本完整可行的得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197"/>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（4）</w:t>
            </w:r>
            <w:r>
              <w:rPr>
                <w:rFonts w:hint="eastAsia" w:ascii="宋体" w:hAnsi="宋体" w:cs="宋体"/>
                <w:color w:val="000000"/>
                <w:szCs w:val="21"/>
                <w:highlight w:val="none"/>
              </w:rPr>
              <w:t xml:space="preserve">针对性欠缺、描述一般的得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197"/>
              <w:numPr>
                <w:ilvl w:val="0"/>
                <w:numId w:val="0"/>
              </w:numPr>
              <w:ind w:left="0" w:firstLine="0"/>
              <w:jc w:val="left"/>
              <w:widowControl/>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197"/>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276"/>
        </w:trPr>
        <w:tc>
          <w:tcPr>
            <w:tcW w:w="711"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197"/>
              <w:ind w:firstLine="28"/>
              <w:jc w:val="center"/>
              <w:rPr>
                <w:rFonts w:hint="eastAsia" w:ascii="宋体" w:hAnsi="宋体" w:eastAsia="宋体" w:cs="宋体"/>
                <w:b w:val="0"/>
                <w:color w:val="000000"/>
                <w:sz w:val="21"/>
                <w:szCs w:val="21"/>
                <w:highlight w:val="none"/>
                <w:lang w:val="en-US" w:eastAsia="zh-CN" w:bidi="ar-SA"/>
              </w:rPr>
              <w:framePr w:vAnchor="text" w:hAnchor="page" w:x="1698" w:y="185"/>
            </w:pPr>
            <w:r>
              <w:rPr>
                <w:rFonts w:hint="eastAsia" w:ascii="宋体" w:hAnsi="宋体" w:eastAsia="宋体" w:cs="宋体"/>
                <w:color w:val="000000"/>
                <w:highlight w:val="none"/>
                <w:lang w:val="en-US" w:eastAsia="zh-CN"/>
              </w:rPr>
              <w:t xml:space="preserve">管理架构、人员岗位配备及工作时间方案</w:t>
            </w:r>
            <w:r>
              <w:rPr>
                <w:rFonts w:hint="eastAsia" w:ascii="宋体" w:hAnsi="宋体" w:eastAsia="宋体" w:cs="宋体"/>
                <w:b w:val="0"/>
                <w:color w:val="000000"/>
                <w:sz w:val="21"/>
                <w:szCs w:val="21"/>
                <w:highlight w:val="none"/>
                <w:lang w:val="en-US" w:eastAsia="zh-CN" w:bidi="ar-SA"/>
              </w:rPr>
            </w:r>
            <w:r/>
          </w:p>
        </w:tc>
        <w:tc>
          <w:tcPr>
            <w:tcW w:w="684"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197"/>
              <w:jc w:val="left"/>
              <w:widowControl/>
              <w:rPr>
                <w:rFonts w:hint="eastAsia" w:ascii="宋体" w:hAnsi="宋体" w:cs="宋体"/>
                <w:b w:val="0"/>
                <w:bCs w:val="0"/>
                <w:sz w:val="21"/>
                <w:szCs w:val="21"/>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需根据项目内容提供方案应包括：本项目管理架构</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人员岗位配备及工作时间等内容合理、详细，熟悉现场情况。</w:t>
            </w:r>
            <w:r>
              <w:rPr>
                <w:rFonts w:hint="eastAsia" w:ascii="宋体" w:hAnsi="宋体" w:cs="宋体"/>
                <w:b w:val="0"/>
                <w:bCs w:val="0"/>
                <w:sz w:val="21"/>
                <w:szCs w:val="21"/>
              </w:rPr>
            </w:r>
            <w:r/>
          </w:p>
          <w:p>
            <w:pPr>
              <w:pStyle w:val="1197"/>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内容描述完整、可行、符合本项目特点的得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197"/>
              <w:numPr>
                <w:ilvl w:val="0"/>
                <w:numId w:val="0"/>
              </w:numPr>
              <w:ind w:left="0" w:firstLine="0"/>
              <w:jc w:val="left"/>
              <w:widowControl/>
              <w:tabs>
                <w:tab w:val="left" w:pos="1200" w:leader="none"/>
              </w:tabs>
              <w:rPr>
                <w:rFonts w:hint="eastAsia" w:ascii="宋体" w:hAnsi="宋体" w:cs="宋体"/>
                <w:color w:val="000000"/>
                <w:sz w:val="21"/>
                <w:szCs w:val="21"/>
                <w:highlight w:val="none"/>
                <w:lang w:val="en-US" w:eastAsia="zh-CN" w:bidi="ar-SA"/>
              </w:rPr>
              <w:framePr w:vAnchor="text" w:hAnchor="page" w:x="1698" w:y="185"/>
            </w:pP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内容描述</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完整可行、</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符合本项目特点的得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 w:val="21"/>
                <w:szCs w:val="21"/>
                <w:highlight w:val="none"/>
                <w:lang w:val="en-US" w:eastAsia="zh-CN" w:bidi="ar-SA"/>
              </w:rPr>
            </w:r>
            <w:r/>
          </w:p>
          <w:p>
            <w:pPr>
              <w:pStyle w:val="1197"/>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（3）</w:t>
            </w:r>
            <w:r>
              <w:rPr>
                <w:rFonts w:hint="eastAsia" w:ascii="宋体" w:hAnsi="宋体" w:cs="宋体"/>
                <w:color w:val="000000"/>
                <w:szCs w:val="21"/>
                <w:highlight w:val="none"/>
              </w:rPr>
              <w:t xml:space="preserve">描述基本完整可行的得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197"/>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（4）</w:t>
            </w:r>
            <w:r>
              <w:rPr>
                <w:rFonts w:hint="eastAsia" w:ascii="宋体" w:hAnsi="宋体" w:cs="宋体"/>
                <w:color w:val="000000"/>
                <w:szCs w:val="21"/>
                <w:highlight w:val="none"/>
              </w:rPr>
              <w:t xml:space="preserve">针对性欠缺、描述一般的得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197"/>
              <w:numPr>
                <w:ilvl w:val="0"/>
                <w:numId w:val="0"/>
              </w:numPr>
              <w:ind w:left="0" w:firstLine="0"/>
              <w:jc w:val="left"/>
              <w:widowControl/>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197"/>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276"/>
        </w:trPr>
        <w:tc>
          <w:tcPr>
            <w:tcW w:w="711"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迎接重大活动及突发事件、紧急情况处理方案</w:t>
            </w:r>
            <w:r>
              <w:rPr>
                <w:rFonts w:hint="eastAsia" w:ascii="宋体" w:hAnsi="宋体" w:eastAsia="宋体" w:cs="宋体"/>
                <w:color w:val="000000"/>
                <w:sz w:val="21"/>
                <w:szCs w:val="21"/>
                <w:highlight w:val="none"/>
                <w:lang w:val="en-US" w:eastAsia="zh-CN"/>
              </w:rPr>
            </w:r>
            <w:r/>
          </w:p>
        </w:tc>
        <w:tc>
          <w:tcPr>
            <w:tcW w:w="684"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197"/>
              <w:jc w:val="left"/>
              <w:widowControl/>
              <w:rPr>
                <w:rFonts w:hint="eastAsia" w:ascii="宋体" w:hAnsi="宋体" w:eastAsia="宋体" w:cs="宋体"/>
                <w:b w:val="0"/>
                <w:bCs w:val="0"/>
                <w:sz w:val="21"/>
                <w:szCs w:val="21"/>
                <w:lang w:eastAsia="zh-CN"/>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需根据项目内容提供</w:t>
            </w:r>
            <w:r>
              <w:rPr>
                <w:rFonts w:hint="eastAsia" w:ascii="宋体" w:hAnsi="宋体" w:eastAsia="宋体" w:cs="宋体"/>
                <w:b w:val="0"/>
                <w:bCs w:val="0"/>
                <w:sz w:val="21"/>
                <w:szCs w:val="21"/>
                <w:lang w:eastAsia="zh-CN"/>
              </w:rPr>
              <w:t xml:space="preserve">迎接重大活动及突发事件、紧急情况处理方案，涵盖事前准备、事中响应、事后恢复及保障措施。</w:t>
            </w:r>
            <w:r>
              <w:rPr>
                <w:rFonts w:hint="eastAsia" w:ascii="宋体" w:hAnsi="宋体" w:eastAsia="宋体" w:cs="宋体"/>
                <w:b w:val="0"/>
                <w:bCs w:val="0"/>
                <w:sz w:val="21"/>
                <w:szCs w:val="21"/>
                <w:lang w:eastAsia="zh-CN"/>
              </w:rPr>
            </w:r>
            <w:r/>
          </w:p>
          <w:p>
            <w:pPr>
              <w:pStyle w:val="1197"/>
              <w:numPr>
                <w:ilvl w:val="0"/>
                <w:numId w:val="0"/>
              </w:numPr>
              <w:jc w:val="left"/>
              <w:widowControl/>
              <w:rPr>
                <w:rFonts w:hint="eastAsia" w:ascii="宋体" w:hAnsi="宋体" w:cs="宋体"/>
                <w:b w:val="0"/>
                <w:bCs w:val="0"/>
                <w:sz w:val="21"/>
                <w:szCs w:val="21"/>
                <w:lang w:eastAsia="zh-CN"/>
              </w:rPr>
              <w:framePr w:vAnchor="text" w:hAnchor="page" w:x="1698" w:y="185"/>
            </w:pPr>
            <w:r>
              <w:rPr>
                <w:rFonts w:hint="eastAsia" w:ascii="宋体" w:hAnsi="宋体" w:cs="宋体"/>
                <w:b w:val="0"/>
                <w:bCs w:val="0"/>
                <w:sz w:val="21"/>
                <w:szCs w:val="21"/>
                <w:lang w:val="en-US" w:eastAsia="zh-CN" w:bidi="ar-SA"/>
              </w:rPr>
              <w:t xml:space="preserve">（1）</w:t>
            </w:r>
            <w:r>
              <w:rPr>
                <w:rFonts w:hint="eastAsia" w:ascii="宋体" w:hAnsi="宋体" w:eastAsia="宋体" w:cs="宋体"/>
                <w:b w:val="0"/>
                <w:bCs w:val="0"/>
                <w:sz w:val="21"/>
                <w:szCs w:val="21"/>
                <w:lang w:eastAsia="zh-CN"/>
              </w:rPr>
              <w:t xml:space="preserve">方案</w:t>
            </w:r>
            <w:r>
              <w:rPr>
                <w:rFonts w:hint="eastAsia" w:ascii="宋体" w:hAnsi="宋体" w:cs="宋体"/>
                <w:b w:val="0"/>
                <w:bCs w:val="0"/>
                <w:sz w:val="21"/>
                <w:szCs w:val="21"/>
              </w:rPr>
              <w:t xml:space="preserve">详细具体、准备充分、完整、可行、符合本项目特点的得</w:t>
            </w:r>
            <w:r>
              <w:rPr>
                <w:rFonts w:hint="eastAsia" w:ascii="宋体" w:hAnsi="宋体" w:eastAsia="宋体" w:cs="宋体"/>
                <w:b w:val="0"/>
                <w:bCs w:val="0"/>
                <w:sz w:val="21"/>
                <w:szCs w:val="21"/>
                <w:lang w:val="en-US" w:eastAsia="zh-CN"/>
              </w:rPr>
              <w:t xml:space="preserve">10</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eastAsia="zh-CN"/>
              </w:rPr>
            </w:r>
            <w:r/>
          </w:p>
          <w:p>
            <w:pPr>
              <w:pStyle w:val="1197"/>
              <w:numPr>
                <w:ilvl w:val="0"/>
                <w:numId w:val="0"/>
              </w:numPr>
              <w:jc w:val="left"/>
              <w:widowControl/>
              <w:rPr>
                <w:rFonts w:hint="eastAsia"/>
                <w:lang w:eastAsia="zh-CN"/>
              </w:rPr>
              <w:framePr w:vAnchor="text" w:hAnchor="page" w:x="1698" w:y="185"/>
            </w:pPr>
            <w:r>
              <w:rPr>
                <w:rFonts w:hint="eastAsia" w:ascii="宋体" w:hAnsi="宋体" w:cs="宋体"/>
                <w:b w:val="0"/>
                <w:bCs w:val="0"/>
                <w:sz w:val="21"/>
                <w:szCs w:val="21"/>
                <w:lang w:val="en-US" w:eastAsia="zh-CN" w:bidi="ar-SA"/>
              </w:rPr>
              <w:t xml:space="preserve">（2）</w:t>
            </w:r>
            <w:r>
              <w:rPr>
                <w:rFonts w:hint="eastAsia" w:ascii="宋体" w:hAnsi="宋体" w:eastAsia="宋体" w:cs="宋体"/>
                <w:b w:val="0"/>
                <w:bCs w:val="0"/>
                <w:sz w:val="21"/>
                <w:szCs w:val="21"/>
                <w:lang w:eastAsia="zh-CN"/>
              </w:rPr>
              <w:t xml:space="preserve">方案</w:t>
            </w:r>
            <w:r>
              <w:rPr>
                <w:rFonts w:hint="eastAsia" w:ascii="宋体" w:hAnsi="宋体" w:eastAsia="宋体" w:cs="宋体"/>
                <w:b w:val="0"/>
                <w:bCs w:val="0"/>
                <w:sz w:val="21"/>
                <w:szCs w:val="21"/>
                <w:lang w:val="en-US" w:eastAsia="zh-CN"/>
              </w:rPr>
              <w:t xml:space="preserve">较</w:t>
            </w:r>
            <w:r>
              <w:rPr>
                <w:rFonts w:hint="eastAsia" w:ascii="宋体" w:hAnsi="宋体" w:cs="宋体"/>
                <w:b w:val="0"/>
                <w:bCs w:val="0"/>
                <w:sz w:val="21"/>
                <w:szCs w:val="21"/>
              </w:rPr>
              <w:t xml:space="preserve">详细具体、准备</w:t>
            </w:r>
            <w:r>
              <w:rPr>
                <w:rFonts w:hint="eastAsia" w:ascii="宋体" w:hAnsi="宋体" w:cs="宋体"/>
                <w:b w:val="0"/>
                <w:bCs w:val="0"/>
                <w:sz w:val="21"/>
                <w:szCs w:val="21"/>
                <w:lang w:val="en-US" w:eastAsia="zh-CN"/>
              </w:rPr>
              <w:t xml:space="preserve">较</w:t>
            </w:r>
            <w:r>
              <w:rPr>
                <w:rFonts w:hint="eastAsia" w:ascii="宋体" w:hAnsi="宋体" w:cs="宋体"/>
                <w:b w:val="0"/>
                <w:bCs w:val="0"/>
                <w:sz w:val="21"/>
                <w:szCs w:val="21"/>
              </w:rPr>
              <w:t xml:space="preserve">充分、</w:t>
            </w:r>
            <w:r>
              <w:rPr>
                <w:rFonts w:hint="eastAsia" w:ascii="宋体" w:hAnsi="宋体" w:cs="宋体"/>
                <w:b w:val="0"/>
                <w:bCs w:val="0"/>
                <w:sz w:val="21"/>
                <w:szCs w:val="21"/>
                <w:lang w:val="en-US" w:eastAsia="zh-CN"/>
              </w:rPr>
              <w:t xml:space="preserve">较</w:t>
            </w:r>
            <w:r>
              <w:rPr>
                <w:rFonts w:hint="eastAsia" w:ascii="宋体" w:hAnsi="宋体" w:cs="宋体"/>
                <w:b w:val="0"/>
                <w:bCs w:val="0"/>
                <w:sz w:val="21"/>
                <w:szCs w:val="21"/>
              </w:rPr>
              <w:t xml:space="preserve">完整可行、</w:t>
            </w:r>
            <w:r>
              <w:rPr>
                <w:rFonts w:hint="eastAsia" w:ascii="宋体" w:hAnsi="宋体" w:cs="宋体"/>
                <w:b w:val="0"/>
                <w:bCs w:val="0"/>
                <w:sz w:val="21"/>
                <w:szCs w:val="21"/>
                <w:lang w:val="en-US" w:eastAsia="zh-CN"/>
              </w:rPr>
              <w:t xml:space="preserve">较</w:t>
            </w:r>
            <w:r>
              <w:rPr>
                <w:rFonts w:hint="eastAsia" w:ascii="宋体" w:hAnsi="宋体" w:cs="宋体"/>
                <w:b w:val="0"/>
                <w:bCs w:val="0"/>
                <w:sz w:val="21"/>
                <w:szCs w:val="21"/>
              </w:rPr>
              <w:t xml:space="preserve">符合本项目特点的得</w:t>
            </w:r>
            <w:r>
              <w:rPr>
                <w:rFonts w:hint="eastAsia" w:ascii="宋体" w:hAnsi="宋体" w:eastAsia="宋体" w:cs="宋体"/>
                <w:b w:val="0"/>
                <w:bCs w:val="0"/>
                <w:sz w:val="21"/>
                <w:szCs w:val="21"/>
                <w:lang w:val="en-US" w:eastAsia="zh-CN"/>
              </w:rPr>
              <w:t xml:space="preserve">7</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lang w:eastAsia="zh-CN"/>
              </w:rPr>
            </w:r>
            <w:r/>
          </w:p>
          <w:p>
            <w:pPr>
              <w:pStyle w:val="1197"/>
              <w:numPr>
                <w:ilvl w:val="0"/>
                <w:numId w:val="0"/>
              </w:numPr>
              <w:jc w:val="left"/>
              <w:widowControl/>
              <w:rPr>
                <w:rFonts w:hint="eastAsia" w:ascii="宋体" w:hAnsi="宋体" w:eastAsia="宋体" w:cs="宋体"/>
                <w:color w:val="000000"/>
                <w:szCs w:val="21"/>
                <w:lang w:eastAsia="zh-CN"/>
              </w:rPr>
              <w:framePr w:vAnchor="text" w:hAnchor="page" w:x="1698" w:y="185"/>
            </w:pPr>
            <w:r>
              <w:rPr>
                <w:rFonts w:hint="eastAsia" w:ascii="宋体" w:hAnsi="宋体" w:cs="宋体"/>
                <w:color w:val="000000"/>
                <w:sz w:val="21"/>
                <w:szCs w:val="21"/>
                <w:lang w:val="en-US" w:eastAsia="zh-CN" w:bidi="ar-SA"/>
              </w:rPr>
              <w:t xml:space="preserve">（3）</w:t>
            </w:r>
            <w:r>
              <w:rPr>
                <w:rFonts w:hint="eastAsia" w:ascii="宋体" w:hAnsi="宋体" w:cs="宋体"/>
                <w:b w:val="0"/>
                <w:bCs w:val="0"/>
                <w:sz w:val="21"/>
                <w:szCs w:val="21"/>
              </w:rPr>
              <w:t xml:space="preserve">工作预案描述基本完整可行的得</w:t>
            </w:r>
            <w:r>
              <w:rPr>
                <w:rFonts w:hint="eastAsia" w:ascii="宋体" w:hAnsi="宋体" w:eastAsia="宋体" w:cs="宋体"/>
                <w:b w:val="0"/>
                <w:bCs w:val="0"/>
                <w:sz w:val="21"/>
                <w:szCs w:val="21"/>
                <w:lang w:val="en-US" w:eastAsia="zh-CN"/>
              </w:rPr>
              <w:t xml:space="preserve">4</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eastAsia="宋体" w:cs="宋体"/>
                <w:color w:val="000000"/>
                <w:szCs w:val="21"/>
                <w:lang w:eastAsia="zh-CN"/>
              </w:rPr>
            </w:r>
            <w:r/>
          </w:p>
          <w:p>
            <w:pPr>
              <w:pStyle w:val="1197"/>
              <w:numPr>
                <w:ilvl w:val="0"/>
                <w:numId w:val="0"/>
              </w:numPr>
              <w:jc w:val="left"/>
              <w:widowControl/>
              <w:rPr>
                <w:rFonts w:hint="eastAsia" w:ascii="宋体" w:hAnsi="宋体" w:eastAsia="宋体" w:cs="宋体"/>
                <w:color w:val="000000"/>
                <w:szCs w:val="21"/>
                <w:lang w:eastAsia="zh-CN"/>
              </w:rPr>
              <w:framePr w:vAnchor="text" w:hAnchor="page" w:x="1698" w:y="185"/>
            </w:pPr>
            <w:r>
              <w:rPr>
                <w:rFonts w:hint="eastAsia" w:ascii="宋体" w:hAnsi="宋体" w:cs="宋体"/>
                <w:color w:val="000000"/>
                <w:sz w:val="21"/>
                <w:szCs w:val="21"/>
                <w:lang w:val="en-US" w:eastAsia="zh-CN" w:bidi="ar-SA"/>
              </w:rPr>
              <w:t xml:space="preserve">（4）</w:t>
            </w:r>
            <w:r>
              <w:rPr>
                <w:rFonts w:hint="eastAsia" w:ascii="宋体" w:hAnsi="宋体" w:cs="宋体"/>
                <w:b w:val="0"/>
                <w:bCs w:val="0"/>
                <w:sz w:val="21"/>
                <w:szCs w:val="21"/>
              </w:rPr>
              <w:t xml:space="preserve">针对性欠缺、描述一般的得</w:t>
            </w:r>
            <w:r>
              <w:rPr>
                <w:rFonts w:hint="eastAsia" w:ascii="宋体" w:hAnsi="宋体" w:eastAsia="宋体" w:cs="宋体"/>
                <w:b w:val="0"/>
                <w:bCs w:val="0"/>
                <w:sz w:val="21"/>
                <w:szCs w:val="21"/>
                <w:lang w:val="en-US" w:eastAsia="zh-CN"/>
              </w:rPr>
              <w:t xml:space="preserve">1</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eastAsia="宋体" w:cs="宋体"/>
                <w:color w:val="000000"/>
                <w:szCs w:val="21"/>
                <w:lang w:eastAsia="zh-CN"/>
              </w:rPr>
            </w:r>
            <w:r/>
          </w:p>
          <w:p>
            <w:pPr>
              <w:pStyle w:val="1197"/>
              <w:numPr>
                <w:ilvl w:val="0"/>
                <w:numId w:val="0"/>
              </w:numPr>
              <w:ind w:left="0" w:firstLine="0"/>
              <w:jc w:val="left"/>
              <w:widowControl/>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 w:val="21"/>
                <w:szCs w:val="21"/>
                <w:lang w:val="en-US" w:eastAsia="zh-CN" w:bidi="ar-SA"/>
              </w:rPr>
              <w:t xml:space="preserve">（5）</w:t>
            </w:r>
            <w:r>
              <w:rPr>
                <w:rFonts w:hint="eastAsia" w:ascii="宋体" w:hAnsi="宋体" w:cs="宋体"/>
                <w:color w:val="000000"/>
                <w:szCs w:val="21"/>
                <w:lang w:val="en-US" w:eastAsia="zh-CN"/>
              </w:rPr>
              <w:t xml:space="preserve">未提供不得分</w:t>
            </w:r>
            <w:r>
              <w:rPr>
                <w:rFonts w:hint="eastAsia" w:ascii="宋体" w:hAnsi="宋体" w:cs="宋体"/>
                <w:color w:val="000000"/>
                <w:szCs w:val="21"/>
              </w:rPr>
              <w:t xml:space="preserve">。</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197"/>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334"/>
        </w:trPr>
        <w:tc>
          <w:tcPr>
            <w:tcW w:w="711"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安全作业保障措施</w:t>
            </w:r>
            <w:r>
              <w:rPr>
                <w:rFonts w:hint="eastAsia" w:ascii="宋体" w:hAnsi="宋体" w:eastAsia="宋体" w:cs="宋体"/>
                <w:color w:val="000000"/>
                <w:sz w:val="21"/>
                <w:szCs w:val="21"/>
                <w:highlight w:val="none"/>
                <w:lang w:val="en-US" w:eastAsia="zh-CN"/>
              </w:rPr>
            </w:r>
            <w:r/>
          </w:p>
        </w:tc>
        <w:tc>
          <w:tcPr>
            <w:tcW w:w="684" w:type="dxa"/>
            <w:vAlign w:val="center"/>
            <w:textDirection w:val="lrTb"/>
            <w:noWrap w:val="false"/>
          </w:tcPr>
          <w:p>
            <w:pPr>
              <w:pStyle w:val="1197"/>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197"/>
              <w:jc w:val="left"/>
              <w:widowControl/>
              <w:rPr>
                <w:rFonts w:hint="eastAsia" w:ascii="宋体" w:hAnsi="宋体" w:cs="宋体"/>
                <w:b w:val="0"/>
                <w:bCs w:val="0"/>
                <w:sz w:val="21"/>
                <w:szCs w:val="21"/>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需根据项目内容加强安全生产，并提供方案。内容应包含但不限于：安全制度、安全措施、安全保障方案等。</w:t>
            </w:r>
            <w:r>
              <w:rPr>
                <w:rFonts w:hint="eastAsia" w:ascii="宋体" w:hAnsi="宋体" w:cs="宋体"/>
                <w:b w:val="0"/>
                <w:bCs w:val="0"/>
                <w:sz w:val="21"/>
                <w:szCs w:val="21"/>
              </w:rPr>
            </w:r>
            <w:r/>
          </w:p>
          <w:p>
            <w:pPr>
              <w:pStyle w:val="1197"/>
              <w:numPr>
                <w:ilvl w:val="0"/>
                <w:numId w:val="0"/>
              </w:numPr>
              <w:jc w:val="left"/>
              <w:widowControl/>
              <w:rPr>
                <w:rFonts w:hint="eastAsia" w:ascii="宋体" w:hAnsi="宋体" w:cs="宋体"/>
                <w:b w:val="0"/>
                <w:bCs w:val="0"/>
                <w:sz w:val="21"/>
                <w:szCs w:val="21"/>
                <w:lang w:eastAsia="zh-CN"/>
              </w:rPr>
              <w:framePr w:vAnchor="text" w:hAnchor="page" w:x="1698" w:y="185"/>
            </w:pPr>
            <w:r>
              <w:rPr>
                <w:rFonts w:hint="eastAsia" w:ascii="宋体" w:hAnsi="宋体" w:cs="宋体"/>
                <w:b w:val="0"/>
                <w:bCs w:val="0"/>
                <w:sz w:val="21"/>
                <w:szCs w:val="21"/>
                <w:lang w:val="en-US" w:eastAsia="zh-CN" w:bidi="ar-SA"/>
              </w:rPr>
              <w:t xml:space="preserve">（1）</w:t>
            </w:r>
            <w:r>
              <w:rPr>
                <w:rFonts w:hint="eastAsia" w:ascii="宋体" w:hAnsi="宋体" w:cs="宋体"/>
                <w:b w:val="0"/>
                <w:bCs w:val="0"/>
                <w:sz w:val="21"/>
                <w:szCs w:val="21"/>
              </w:rPr>
              <w:t xml:space="preserve">各项内容符合本项目实际需求、合理可行、详细全面的得</w:t>
            </w:r>
            <w:r>
              <w:rPr>
                <w:rFonts w:hint="eastAsia" w:ascii="宋体" w:hAnsi="宋体" w:eastAsia="宋体" w:cs="宋体"/>
                <w:b w:val="0"/>
                <w:bCs w:val="0"/>
                <w:sz w:val="21"/>
                <w:szCs w:val="21"/>
                <w:lang w:val="en-US" w:eastAsia="zh-CN"/>
              </w:rPr>
              <w:t xml:space="preserve">10</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eastAsia="zh-CN"/>
              </w:rPr>
            </w:r>
            <w:r/>
          </w:p>
          <w:p>
            <w:pPr>
              <w:pStyle w:val="1197"/>
              <w:numPr>
                <w:ilvl w:val="0"/>
                <w:numId w:val="0"/>
              </w:numPr>
              <w:jc w:val="left"/>
              <w:widowControl/>
              <w:rPr>
                <w:rFonts w:hint="eastAsia"/>
                <w:lang w:eastAsia="zh-CN"/>
              </w:rPr>
              <w:framePr w:vAnchor="text" w:hAnchor="page" w:x="1698" w:y="185"/>
            </w:pPr>
            <w:r>
              <w:rPr>
                <w:rFonts w:hint="eastAsia" w:ascii="宋体" w:hAnsi="宋体" w:cs="宋体"/>
                <w:b w:val="0"/>
                <w:bCs w:val="0"/>
                <w:sz w:val="21"/>
                <w:szCs w:val="21"/>
                <w:lang w:val="en-US" w:eastAsia="zh-CN" w:bidi="ar-SA"/>
              </w:rPr>
              <w:t xml:space="preserve">（2）</w:t>
            </w:r>
            <w:r>
              <w:rPr>
                <w:rFonts w:hint="eastAsia" w:ascii="宋体" w:hAnsi="宋体" w:cs="宋体"/>
                <w:b w:val="0"/>
                <w:bCs w:val="0"/>
                <w:sz w:val="21"/>
                <w:szCs w:val="21"/>
              </w:rPr>
              <w:t xml:space="preserve">各项内容</w:t>
            </w:r>
            <w:r>
              <w:rPr>
                <w:rFonts w:hint="eastAsia" w:ascii="宋体" w:hAnsi="宋体" w:cs="宋体"/>
                <w:b w:val="0"/>
                <w:bCs w:val="0"/>
                <w:sz w:val="21"/>
                <w:szCs w:val="21"/>
                <w:lang w:val="en-US" w:eastAsia="zh-CN"/>
              </w:rPr>
              <w:t xml:space="preserve">较</w:t>
            </w:r>
            <w:r>
              <w:rPr>
                <w:rFonts w:hint="eastAsia" w:ascii="宋体" w:hAnsi="宋体" w:cs="宋体"/>
                <w:b w:val="0"/>
                <w:bCs w:val="0"/>
                <w:sz w:val="21"/>
                <w:szCs w:val="21"/>
              </w:rPr>
              <w:t xml:space="preserve">符合本项目实际需求、</w:t>
            </w:r>
            <w:r>
              <w:rPr>
                <w:rFonts w:hint="eastAsia" w:ascii="宋体" w:hAnsi="宋体" w:cs="宋体"/>
                <w:b w:val="0"/>
                <w:bCs w:val="0"/>
                <w:sz w:val="21"/>
                <w:szCs w:val="21"/>
                <w:lang w:val="en-US" w:eastAsia="zh-CN"/>
              </w:rPr>
              <w:t xml:space="preserve">较</w:t>
            </w:r>
            <w:r>
              <w:rPr>
                <w:rFonts w:hint="eastAsia" w:ascii="宋体" w:hAnsi="宋体" w:cs="宋体"/>
                <w:b w:val="0"/>
                <w:bCs w:val="0"/>
                <w:sz w:val="21"/>
                <w:szCs w:val="21"/>
              </w:rPr>
              <w:t xml:space="preserve">合理可行的得</w:t>
            </w:r>
            <w:r>
              <w:rPr>
                <w:rFonts w:hint="eastAsia" w:ascii="宋体" w:hAnsi="宋体" w:eastAsia="宋体" w:cs="宋体"/>
                <w:b w:val="0"/>
                <w:bCs w:val="0"/>
                <w:sz w:val="21"/>
                <w:szCs w:val="21"/>
                <w:lang w:val="en-US" w:eastAsia="zh-CN"/>
              </w:rPr>
              <w:t xml:space="preserve">7</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lang w:eastAsia="zh-CN"/>
              </w:rPr>
            </w:r>
            <w:r/>
          </w:p>
          <w:p>
            <w:pPr>
              <w:pStyle w:val="1197"/>
              <w:numPr>
                <w:ilvl w:val="0"/>
                <w:numId w:val="0"/>
              </w:numPr>
              <w:jc w:val="left"/>
              <w:widowControl/>
              <w:rPr>
                <w:rFonts w:hint="eastAsia" w:ascii="宋体" w:hAnsi="宋体" w:eastAsia="宋体" w:cs="宋体"/>
                <w:color w:val="000000"/>
                <w:szCs w:val="21"/>
                <w:lang w:eastAsia="zh-CN"/>
              </w:rPr>
              <w:framePr w:vAnchor="text" w:hAnchor="page" w:x="1698" w:y="185"/>
            </w:pPr>
            <w:r>
              <w:rPr>
                <w:rFonts w:hint="eastAsia" w:ascii="宋体" w:hAnsi="宋体" w:cs="宋体"/>
                <w:color w:val="000000"/>
                <w:sz w:val="21"/>
                <w:szCs w:val="21"/>
                <w:lang w:val="en-US" w:eastAsia="zh-CN" w:bidi="ar-SA"/>
              </w:rPr>
              <w:t xml:space="preserve">（3）</w:t>
            </w:r>
            <w:r>
              <w:rPr>
                <w:rFonts w:hint="eastAsia" w:ascii="宋体" w:hAnsi="宋体" w:cs="宋体"/>
                <w:b w:val="0"/>
                <w:bCs w:val="0"/>
                <w:sz w:val="21"/>
                <w:szCs w:val="21"/>
              </w:rPr>
              <w:t xml:space="preserve">描述基本完整可行的得</w:t>
            </w:r>
            <w:r>
              <w:rPr>
                <w:rFonts w:hint="eastAsia" w:ascii="宋体" w:hAnsi="宋体" w:eastAsia="宋体" w:cs="宋体"/>
                <w:b w:val="0"/>
                <w:bCs w:val="0"/>
                <w:sz w:val="21"/>
                <w:szCs w:val="21"/>
                <w:lang w:val="en-US" w:eastAsia="zh-CN"/>
              </w:rPr>
              <w:t xml:space="preserve">4</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eastAsia="宋体" w:cs="宋体"/>
                <w:color w:val="000000"/>
                <w:szCs w:val="21"/>
                <w:lang w:eastAsia="zh-CN"/>
              </w:rPr>
            </w:r>
            <w:r/>
          </w:p>
          <w:p>
            <w:pPr>
              <w:pStyle w:val="1197"/>
              <w:numPr>
                <w:ilvl w:val="0"/>
                <w:numId w:val="0"/>
              </w:numPr>
              <w:jc w:val="left"/>
              <w:widowControl/>
              <w:rPr>
                <w:rFonts w:hint="eastAsia" w:ascii="宋体" w:hAnsi="宋体" w:eastAsia="宋体" w:cs="宋体"/>
                <w:color w:val="000000"/>
                <w:szCs w:val="21"/>
                <w:lang w:eastAsia="zh-CN"/>
              </w:rPr>
              <w:framePr w:vAnchor="text" w:hAnchor="page" w:x="1698" w:y="185"/>
            </w:pPr>
            <w:r>
              <w:rPr>
                <w:rFonts w:hint="eastAsia" w:ascii="宋体" w:hAnsi="宋体" w:cs="宋体"/>
                <w:color w:val="000000"/>
                <w:sz w:val="21"/>
                <w:szCs w:val="21"/>
                <w:lang w:val="en-US" w:eastAsia="zh-CN" w:bidi="ar-SA"/>
              </w:rPr>
              <w:t xml:space="preserve">（4）</w:t>
            </w:r>
            <w:r>
              <w:rPr>
                <w:rFonts w:hint="eastAsia" w:ascii="宋体" w:hAnsi="宋体" w:cs="宋体"/>
                <w:b w:val="0"/>
                <w:bCs w:val="0"/>
                <w:sz w:val="21"/>
                <w:szCs w:val="21"/>
              </w:rPr>
              <w:t xml:space="preserve">针对性欠缺、描述一般的得</w:t>
            </w:r>
            <w:r>
              <w:rPr>
                <w:rFonts w:hint="eastAsia" w:ascii="宋体" w:hAnsi="宋体" w:eastAsia="宋体" w:cs="宋体"/>
                <w:b w:val="0"/>
                <w:bCs w:val="0"/>
                <w:sz w:val="21"/>
                <w:szCs w:val="21"/>
                <w:lang w:val="en-US" w:eastAsia="zh-CN"/>
              </w:rPr>
              <w:t xml:space="preserve">1</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eastAsia="宋体" w:cs="宋体"/>
                <w:color w:val="000000"/>
                <w:szCs w:val="21"/>
                <w:lang w:eastAsia="zh-CN"/>
              </w:rPr>
            </w:r>
            <w:r/>
          </w:p>
          <w:p>
            <w:pPr>
              <w:pStyle w:val="1197"/>
              <w:numPr>
                <w:ilvl w:val="0"/>
                <w:numId w:val="0"/>
              </w:numPr>
              <w:ind w:left="0" w:firstLine="0"/>
              <w:jc w:val="left"/>
              <w:widowControl/>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 w:val="21"/>
                <w:szCs w:val="21"/>
                <w:lang w:val="en-US" w:eastAsia="zh-CN" w:bidi="ar-SA"/>
              </w:rPr>
              <w:t xml:space="preserve">（5）</w:t>
            </w:r>
            <w:r>
              <w:rPr>
                <w:rFonts w:hint="eastAsia" w:ascii="宋体" w:hAnsi="宋体" w:cs="宋体"/>
                <w:color w:val="000000"/>
                <w:szCs w:val="21"/>
                <w:lang w:val="en-US" w:eastAsia="zh-CN"/>
              </w:rPr>
              <w:t xml:space="preserve">未提供不得分</w:t>
            </w:r>
            <w:r>
              <w:rPr>
                <w:rFonts w:hint="eastAsia" w:ascii="宋体" w:hAnsi="宋体" w:cs="宋体"/>
                <w:color w:val="000000"/>
                <w:szCs w:val="21"/>
              </w:rPr>
              <w:t xml:space="preserve">。</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197"/>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310"/>
        </w:trPr>
        <w:tc>
          <w:tcPr>
            <w:tcW w:w="711"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文明保障措施</w:t>
            </w:r>
            <w:r>
              <w:rPr>
                <w:rFonts w:hint="eastAsia" w:ascii="宋体" w:hAnsi="宋体" w:eastAsia="宋体" w:cs="宋体"/>
                <w:color w:val="000000"/>
                <w:sz w:val="21"/>
                <w:szCs w:val="21"/>
                <w:highlight w:val="none"/>
                <w:lang w:val="en-US" w:eastAsia="zh-CN"/>
              </w:rPr>
            </w:r>
            <w:r/>
          </w:p>
        </w:tc>
        <w:tc>
          <w:tcPr>
            <w:tcW w:w="684" w:type="dxa"/>
            <w:vAlign w:val="center"/>
            <w:textDirection w:val="lrTb"/>
            <w:noWrap w:val="false"/>
          </w:tcPr>
          <w:p>
            <w:pPr>
              <w:pStyle w:val="1197"/>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197"/>
              <w:jc w:val="left"/>
              <w:widowControl/>
              <w:rPr>
                <w:rFonts w:hint="eastAsia" w:ascii="宋体" w:hAnsi="宋体" w:cs="宋体"/>
                <w:b w:val="0"/>
                <w:bCs w:val="0"/>
                <w:sz w:val="21"/>
                <w:szCs w:val="21"/>
                <w:lang w:eastAsia="zh-CN"/>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需根据项目制定文明作业实施方案及保障措施</w:t>
            </w:r>
            <w:r>
              <w:rPr>
                <w:rFonts w:hint="eastAsia" w:ascii="宋体" w:hAnsi="宋体" w:cs="宋体"/>
                <w:b w:val="0"/>
                <w:bCs w:val="0"/>
                <w:sz w:val="21"/>
                <w:szCs w:val="21"/>
                <w:lang w:eastAsia="zh-CN"/>
              </w:rPr>
              <w:t xml:space="preserve">，需涵盖人员管理、作业规范、环境保护、安全保障和沟通协作等模块。</w:t>
            </w:r>
            <w:r>
              <w:rPr>
                <w:rFonts w:hint="eastAsia" w:ascii="宋体" w:hAnsi="宋体" w:cs="宋体"/>
                <w:b w:val="0"/>
                <w:bCs w:val="0"/>
                <w:sz w:val="21"/>
                <w:szCs w:val="21"/>
                <w:lang w:eastAsia="zh-CN"/>
              </w:rPr>
            </w:r>
            <w:r/>
          </w:p>
          <w:p>
            <w:pPr>
              <w:pStyle w:val="1197"/>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内容描述完整、可行、符合本项目特点的得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197"/>
              <w:numPr>
                <w:ilvl w:val="0"/>
                <w:numId w:val="0"/>
              </w:numPr>
              <w:ind w:left="0" w:firstLine="0"/>
              <w:jc w:val="left"/>
              <w:widowControl/>
              <w:tabs>
                <w:tab w:val="left" w:pos="1200" w:leader="none"/>
              </w:tabs>
              <w:rPr>
                <w:rFonts w:hint="eastAsia" w:ascii="宋体" w:hAnsi="宋体" w:cs="宋体"/>
                <w:color w:val="000000"/>
                <w:sz w:val="21"/>
                <w:szCs w:val="21"/>
                <w:highlight w:val="none"/>
                <w:lang w:val="en-US" w:eastAsia="zh-CN" w:bidi="ar-SA"/>
              </w:rPr>
              <w:framePr w:vAnchor="text" w:hAnchor="page" w:x="1698" w:y="185"/>
            </w:pP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内容描述</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完整可行、</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符合本项目特点的得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 w:val="21"/>
                <w:szCs w:val="21"/>
                <w:highlight w:val="none"/>
                <w:lang w:val="en-US" w:eastAsia="zh-CN" w:bidi="ar-SA"/>
              </w:rPr>
            </w:r>
            <w:r/>
          </w:p>
          <w:p>
            <w:pPr>
              <w:pStyle w:val="1197"/>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（3）</w:t>
            </w:r>
            <w:r>
              <w:rPr>
                <w:rFonts w:hint="eastAsia" w:ascii="宋体" w:hAnsi="宋体" w:cs="宋体"/>
                <w:color w:val="000000"/>
                <w:szCs w:val="21"/>
                <w:highlight w:val="none"/>
              </w:rPr>
              <w:t xml:space="preserve">描述基本完整可行的得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197"/>
              <w:numPr>
                <w:ilvl w:val="0"/>
                <w:numId w:val="0"/>
              </w:numPr>
              <w:ind w:left="0" w:firstLine="0"/>
              <w:jc w:val="left"/>
              <w:widowControl/>
              <w:tabs>
                <w:tab w:val="left" w:pos="1200" w:leader="none"/>
              </w:tabs>
              <w:rPr>
                <w:rFonts w:hint="eastAsia" w:ascii="宋体" w:hAnsi="宋体" w:cs="宋体"/>
                <w:color w:val="000000"/>
                <w:szCs w:val="21"/>
                <w:highlight w:val="none"/>
                <w:lang w:eastAsia="zh-CN"/>
              </w:rPr>
              <w:framePr w:vAnchor="text" w:hAnchor="page" w:x="1698" w:y="185"/>
            </w:pPr>
            <w:r>
              <w:rPr>
                <w:rFonts w:hint="eastAsia" w:ascii="宋体" w:hAnsi="宋体" w:cs="宋体"/>
                <w:color w:val="000000"/>
                <w:sz w:val="21"/>
                <w:szCs w:val="21"/>
                <w:highlight w:val="none"/>
                <w:lang w:val="en-US" w:eastAsia="zh-CN" w:bidi="ar-SA"/>
              </w:rPr>
              <w:t xml:space="preserve">（4）</w:t>
            </w:r>
            <w:r>
              <w:rPr>
                <w:rFonts w:hint="eastAsia" w:ascii="宋体" w:hAnsi="宋体" w:cs="宋体"/>
                <w:color w:val="000000"/>
                <w:szCs w:val="21"/>
                <w:highlight w:val="none"/>
              </w:rPr>
              <w:t xml:space="preserve">针对性欠缺、描述一般的得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197"/>
              <w:numPr>
                <w:ilvl w:val="0"/>
                <w:numId w:val="0"/>
              </w:numPr>
              <w:ind w:left="0" w:firstLine="0"/>
              <w:jc w:val="left"/>
              <w:widowControl/>
              <w:rPr>
                <w:rFonts w:hint="eastAsia" w:ascii="宋体" w:hAnsi="宋体" w:eastAsia="宋体" w:cs="宋体"/>
                <w:color w:val="000000"/>
                <w:highlight w:val="none"/>
                <w:lang w:val="en-US" w:eastAsia="zh-CN"/>
              </w:rPr>
              <w:framePr w:vAnchor="text" w:hAnchor="page" w:x="1698" w:y="185"/>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197"/>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r>
            <w:r/>
          </w:p>
        </w:tc>
      </w:tr>
      <w:tr>
        <w:trPr>
          <w:trHeight w:val="310"/>
        </w:trPr>
        <w:tc>
          <w:tcPr>
            <w:tcW w:w="711" w:type="dxa"/>
            <w:vAlign w:val="center"/>
            <w:textDirection w:val="lrTb"/>
            <w:noWrap w:val="false"/>
          </w:tcPr>
          <w:p>
            <w:pPr>
              <w:pStyle w:val="1197"/>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3.7</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恶劣天气应急预案</w:t>
            </w:r>
            <w:r>
              <w:rPr>
                <w:rFonts w:hint="eastAsia" w:ascii="宋体" w:hAnsi="宋体" w:eastAsia="宋体" w:cs="宋体"/>
                <w:color w:val="000000"/>
                <w:sz w:val="21"/>
                <w:szCs w:val="21"/>
                <w:highlight w:val="none"/>
                <w:lang w:val="en-US" w:eastAsia="zh-CN"/>
              </w:rPr>
            </w:r>
            <w:r/>
          </w:p>
        </w:tc>
        <w:tc>
          <w:tcPr>
            <w:tcW w:w="684" w:type="dxa"/>
            <w:vAlign w:val="center"/>
            <w:textDirection w:val="lrTb"/>
            <w:noWrap w:val="false"/>
          </w:tcPr>
          <w:p>
            <w:pPr>
              <w:pStyle w:val="1197"/>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197"/>
              <w:jc w:val="left"/>
              <w:widowControl/>
              <w:rPr>
                <w:rFonts w:ascii="宋体" w:hAnsi="宋体" w:eastAsia="宋体" w:cs="宋体"/>
                <w:b w:val="0"/>
                <w:bCs w:val="0"/>
                <w:sz w:val="21"/>
                <w:szCs w:val="21"/>
                <w:highlight w:val="none"/>
                <w:lang w:val="en-US" w:eastAsia="zh-CN"/>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需根据项目内容提供</w:t>
            </w:r>
            <w:r>
              <w:rPr>
                <w:rFonts w:hint="eastAsia" w:ascii="宋体" w:hAnsi="宋体" w:eastAsia="宋体" w:cs="宋体"/>
                <w:b w:val="0"/>
                <w:bCs w:val="0"/>
                <w:sz w:val="21"/>
                <w:szCs w:val="21"/>
                <w:highlight w:val="none"/>
                <w:lang w:eastAsia="zh-CN"/>
              </w:rPr>
              <w:t xml:space="preserve">恶劣天气应急预案及保障措施</w:t>
            </w:r>
            <w:r>
              <w:rPr>
                <w:rFonts w:hint="eastAsia" w:ascii="宋体" w:hAnsi="宋体" w:eastAsia="宋体" w:cs="宋体"/>
                <w:b w:val="0"/>
                <w:bCs w:val="0"/>
                <w:sz w:val="21"/>
                <w:szCs w:val="21"/>
                <w:highlight w:val="none"/>
                <w:lang w:val="en-US" w:eastAsia="zh-CN"/>
              </w:rPr>
              <w:t xml:space="preserve">,需涵盖暴雨、暴雪、大风、高温等常见恶劣天气类型，包含组织架构、预警机制、应急响应、资源保障及后期处置等模块。</w:t>
            </w:r>
            <w:r>
              <w:rPr>
                <w:rFonts w:ascii="宋体" w:hAnsi="宋体" w:eastAsia="宋体" w:cs="宋体"/>
                <w:b w:val="0"/>
                <w:bCs w:val="0"/>
                <w:sz w:val="21"/>
                <w:szCs w:val="21"/>
                <w:highlight w:val="none"/>
                <w:lang w:val="en-US" w:eastAsia="zh-CN"/>
              </w:rPr>
            </w:r>
            <w:r/>
          </w:p>
          <w:p>
            <w:pPr>
              <w:pStyle w:val="1197"/>
              <w:numPr>
                <w:ilvl w:val="0"/>
                <w:numId w:val="0"/>
              </w:numPr>
              <w:jc w:val="left"/>
              <w:widowControl/>
              <w:rPr>
                <w:rFonts w:hint="eastAsia" w:ascii="宋体" w:hAnsi="宋体" w:eastAsia="宋体" w:cs="宋体"/>
                <w:b w:val="0"/>
                <w:bCs w:val="0"/>
                <w:sz w:val="21"/>
                <w:szCs w:val="21"/>
                <w:highlight w:val="none"/>
                <w:lang w:eastAsia="zh-CN"/>
              </w:rPr>
              <w:framePr w:vAnchor="text" w:hAnchor="page" w:x="1698" w:y="185"/>
            </w:pPr>
            <w:r>
              <w:rPr>
                <w:rFonts w:hint="eastAsia" w:ascii="宋体" w:hAnsi="宋体" w:eastAsia="宋体" w:cs="宋体"/>
                <w:b w:val="0"/>
                <w:bCs w:val="0"/>
                <w:sz w:val="21"/>
                <w:szCs w:val="21"/>
                <w:lang w:val="en-US" w:eastAsia="zh-CN" w:bidi="ar-SA"/>
              </w:rPr>
              <w:t xml:space="preserve">（1）</w:t>
            </w:r>
            <w:r>
              <w:rPr>
                <w:rFonts w:hint="eastAsia" w:ascii="宋体" w:hAnsi="宋体" w:eastAsia="宋体" w:cs="宋体"/>
                <w:b w:val="0"/>
                <w:bCs w:val="0"/>
                <w:sz w:val="21"/>
                <w:szCs w:val="21"/>
                <w:highlight w:val="none"/>
                <w:lang w:eastAsia="zh-CN"/>
              </w:rPr>
              <w:t xml:space="preserve">预案详细具体、准备充分、完整、可行、符合本项目特点的得</w:t>
            </w:r>
            <w:r>
              <w:rPr>
                <w:rFonts w:hint="eastAsia" w:ascii="宋体" w:hAnsi="宋体" w:eastAsia="宋体" w:cs="宋体"/>
                <w:b w:val="0"/>
                <w:bCs w:val="0"/>
                <w:sz w:val="21"/>
                <w:szCs w:val="21"/>
                <w:highlight w:val="none"/>
                <w:lang w:val="en-US" w:eastAsia="zh-CN"/>
              </w:rPr>
              <w:t xml:space="preserve">10</w:t>
            </w:r>
            <w:r>
              <w:rPr>
                <w:rFonts w:hint="eastAsia" w:ascii="宋体" w:hAnsi="宋体" w:eastAsia="宋体" w:cs="宋体"/>
                <w:b w:val="0"/>
                <w:bCs w:val="0"/>
                <w:sz w:val="21"/>
                <w:szCs w:val="21"/>
                <w:highlight w:val="none"/>
                <w:lang w:eastAsia="zh-CN"/>
              </w:rPr>
              <w:t xml:space="preserve">分；</w:t>
            </w:r>
            <w:r>
              <w:rPr>
                <w:rFonts w:hint="eastAsia" w:ascii="宋体" w:hAnsi="宋体" w:eastAsia="宋体" w:cs="宋体"/>
                <w:b w:val="0"/>
                <w:bCs w:val="0"/>
                <w:sz w:val="21"/>
                <w:szCs w:val="21"/>
                <w:highlight w:val="none"/>
                <w:lang w:eastAsia="zh-CN"/>
              </w:rPr>
            </w:r>
            <w:r/>
          </w:p>
          <w:p>
            <w:pPr>
              <w:pStyle w:val="1197"/>
              <w:numPr>
                <w:ilvl w:val="0"/>
                <w:numId w:val="0"/>
              </w:numPr>
              <w:jc w:val="left"/>
              <w:widowControl/>
              <w:rPr>
                <w:rFonts w:hint="eastAsia"/>
                <w:lang w:eastAsia="zh-CN"/>
              </w:rPr>
              <w:framePr w:vAnchor="text" w:hAnchor="page" w:x="1698" w:y="185"/>
            </w:pPr>
            <w:r>
              <w:rPr>
                <w:rFonts w:hint="eastAsia" w:ascii="宋体" w:hAnsi="宋体" w:eastAsia="宋体" w:cs="宋体"/>
                <w:b w:val="0"/>
                <w:bCs w:val="0"/>
                <w:sz w:val="21"/>
                <w:szCs w:val="21"/>
                <w:lang w:val="en-US" w:eastAsia="zh-CN" w:bidi="ar-SA"/>
              </w:rPr>
              <w:t xml:space="preserve">（2）</w:t>
            </w:r>
            <w:r>
              <w:rPr>
                <w:rFonts w:hint="eastAsia" w:ascii="宋体" w:hAnsi="宋体" w:eastAsia="宋体" w:cs="宋体"/>
                <w:b w:val="0"/>
                <w:bCs w:val="0"/>
                <w:sz w:val="21"/>
                <w:szCs w:val="21"/>
                <w:highlight w:val="none"/>
                <w:lang w:eastAsia="zh-CN"/>
              </w:rPr>
              <w:t xml:space="preserve">预案</w:t>
            </w:r>
            <w:r>
              <w:rPr>
                <w:rFonts w:hint="eastAsia" w:ascii="宋体" w:hAnsi="宋体" w:eastAsia="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eastAsia="zh-CN"/>
              </w:rPr>
              <w:t xml:space="preserve">详细具体、准备</w:t>
            </w:r>
            <w:r>
              <w:rPr>
                <w:rFonts w:hint="eastAsia" w:ascii="宋体" w:hAnsi="宋体" w:eastAsia="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eastAsia="zh-CN"/>
              </w:rPr>
              <w:t xml:space="preserve">充分、</w:t>
            </w:r>
            <w:r>
              <w:rPr>
                <w:rFonts w:hint="eastAsia" w:ascii="宋体" w:hAnsi="宋体" w:eastAsia="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eastAsia="zh-CN"/>
              </w:rPr>
              <w:t xml:space="preserve">完整可行、</w:t>
            </w:r>
            <w:r>
              <w:rPr>
                <w:rFonts w:hint="eastAsia" w:ascii="宋体" w:hAnsi="宋体" w:eastAsia="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eastAsia="zh-CN"/>
              </w:rPr>
              <w:t xml:space="preserve">符合本项目特点的得</w:t>
            </w: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eastAsia="zh-CN"/>
              </w:rPr>
              <w:t xml:space="preserve">分；</w:t>
            </w:r>
            <w:r>
              <w:rPr>
                <w:rFonts w:hint="eastAsia"/>
                <w:lang w:eastAsia="zh-CN"/>
              </w:rPr>
            </w:r>
            <w:r/>
          </w:p>
          <w:p>
            <w:pPr>
              <w:pStyle w:val="1197"/>
              <w:numPr>
                <w:ilvl w:val="0"/>
                <w:numId w:val="0"/>
              </w:numPr>
              <w:jc w:val="left"/>
              <w:widowControl/>
              <w:rPr>
                <w:rFonts w:hint="eastAsia" w:ascii="宋体" w:hAnsi="宋体" w:cs="宋体"/>
                <w:color w:val="000000"/>
                <w:szCs w:val="21"/>
                <w:highlight w:val="none"/>
              </w:rPr>
              <w:framePr w:vAnchor="text" w:hAnchor="page" w:x="1698" w:y="185"/>
            </w:pP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b w:val="0"/>
                <w:bCs w:val="0"/>
                <w:sz w:val="21"/>
                <w:szCs w:val="21"/>
                <w:highlight w:val="none"/>
                <w:lang w:eastAsia="zh-CN"/>
              </w:rPr>
              <w:t xml:space="preserve">工作预案描述基本完整可行的得</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eastAsia="zh-CN"/>
              </w:rPr>
              <w:t xml:space="preserve">分；</w:t>
            </w:r>
            <w:r>
              <w:rPr>
                <w:rFonts w:hint="eastAsia" w:ascii="宋体" w:hAnsi="宋体" w:cs="宋体"/>
                <w:color w:val="000000"/>
                <w:szCs w:val="21"/>
                <w:highlight w:val="none"/>
              </w:rPr>
            </w:r>
            <w:r/>
          </w:p>
          <w:p>
            <w:pPr>
              <w:pStyle w:val="1197"/>
              <w:numPr>
                <w:ilvl w:val="0"/>
                <w:numId w:val="0"/>
              </w:numPr>
              <w:jc w:val="left"/>
              <w:widowControl/>
              <w:rPr>
                <w:rFonts w:hint="eastAsia" w:ascii="宋体" w:hAnsi="宋体" w:cs="宋体"/>
                <w:color w:val="000000"/>
                <w:szCs w:val="21"/>
                <w:highlight w:val="none"/>
              </w:rPr>
              <w:framePr w:vAnchor="text" w:hAnchor="page" w:x="1698" w:y="185"/>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b w:val="0"/>
                <w:bCs w:val="0"/>
                <w:sz w:val="21"/>
                <w:szCs w:val="21"/>
                <w:highlight w:val="none"/>
                <w:lang w:eastAsia="zh-CN"/>
              </w:rPr>
              <w:t xml:space="preserve">针对性欠缺、描述一般的得1分；</w:t>
            </w:r>
            <w:r>
              <w:rPr>
                <w:rFonts w:hint="eastAsia" w:ascii="宋体" w:hAnsi="宋体" w:cs="宋体"/>
                <w:color w:val="000000"/>
                <w:szCs w:val="21"/>
                <w:highlight w:val="none"/>
              </w:rPr>
            </w:r>
            <w:r/>
          </w:p>
          <w:p>
            <w:pPr>
              <w:pStyle w:val="1197"/>
              <w:numPr>
                <w:ilvl w:val="0"/>
                <w:numId w:val="0"/>
              </w:numPr>
              <w:ind w:left="0" w:firstLine="0"/>
              <w:jc w:val="left"/>
              <w:widowControl/>
              <w:rPr>
                <w:rFonts w:hint="eastAsia" w:ascii="宋体" w:hAnsi="宋体" w:eastAsia="宋体" w:cs="宋体"/>
                <w:color w:val="000000"/>
                <w:sz w:val="21"/>
                <w:szCs w:val="24"/>
                <w:highlight w:val="none"/>
                <w:lang w:val="en-US" w:eastAsia="zh-CN" w:bidi="ar-SA"/>
              </w:rPr>
              <w:framePr w:vAnchor="text" w:hAnchor="page" w:x="1698" w:y="185"/>
            </w:pPr>
            <w:r>
              <w:rPr>
                <w:rFonts w:hint="eastAsia" w:ascii="宋体" w:hAnsi="宋体" w:cs="宋体"/>
                <w:color w:val="000000"/>
                <w:sz w:val="21"/>
                <w:szCs w:val="21"/>
                <w:highlight w:val="none"/>
                <w:lang w:val="en-US" w:eastAsia="zh-CN" w:bidi="ar-SA"/>
              </w:rPr>
              <w:t xml:space="preserve">（5）</w:t>
            </w: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eastAsia="宋体" w:cs="宋体"/>
                <w:color w:val="000000"/>
                <w:sz w:val="21"/>
                <w:szCs w:val="24"/>
                <w:highlight w:val="none"/>
                <w:lang w:val="en-US" w:eastAsia="zh-CN" w:bidi="ar-SA"/>
              </w:rPr>
            </w:r>
            <w:r/>
          </w:p>
        </w:tc>
        <w:tc>
          <w:tcPr>
            <w:tcW w:w="2456" w:type="dxa"/>
            <w:vAlign w:val="center"/>
            <w:textDirection w:val="lrTb"/>
            <w:noWrap w:val="false"/>
          </w:tcPr>
          <w:p>
            <w:pPr>
              <w:pStyle w:val="1197"/>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r>
            <w:r/>
          </w:p>
        </w:tc>
      </w:tr>
      <w:tr>
        <w:trPr>
          <w:trHeight w:val="310"/>
        </w:trPr>
        <w:tc>
          <w:tcPr>
            <w:tcW w:w="711" w:type="dxa"/>
            <w:vAlign w:val="center"/>
            <w:textDirection w:val="lrTb"/>
            <w:noWrap w:val="false"/>
          </w:tcPr>
          <w:p>
            <w:pPr>
              <w:pStyle w:val="1197"/>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3.8</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197"/>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制度和档案的建立与管理方案</w:t>
            </w:r>
            <w:r>
              <w:rPr>
                <w:rFonts w:hint="eastAsia" w:ascii="宋体" w:hAnsi="宋体" w:eastAsia="宋体" w:cs="宋体"/>
                <w:color w:val="000000"/>
                <w:sz w:val="21"/>
                <w:szCs w:val="21"/>
                <w:highlight w:val="none"/>
                <w:lang w:val="en-US" w:eastAsia="zh-CN"/>
              </w:rPr>
            </w:r>
            <w:r/>
          </w:p>
        </w:tc>
        <w:tc>
          <w:tcPr>
            <w:tcW w:w="684" w:type="dxa"/>
            <w:vAlign w:val="center"/>
            <w:textDirection w:val="lrTb"/>
            <w:noWrap w:val="false"/>
          </w:tcPr>
          <w:p>
            <w:pPr>
              <w:pStyle w:val="1197"/>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197"/>
              <w:jc w:val="left"/>
              <w:widowControl/>
              <w:rPr>
                <w:rFonts w:hint="eastAsia" w:ascii="宋体" w:hAnsi="宋体" w:cs="宋体"/>
                <w:b w:val="0"/>
                <w:bCs w:val="0"/>
                <w:sz w:val="21"/>
                <w:szCs w:val="21"/>
                <w:lang w:eastAsia="zh-CN"/>
              </w:rPr>
              <w:framePr w:vAnchor="text" w:hAnchor="page" w:x="1698" w:y="185"/>
            </w:pPr>
            <w:r>
              <w:rPr>
                <w:rFonts w:hint="eastAsia" w:ascii="宋体" w:hAnsi="宋体" w:cs="宋体"/>
                <w:b w:val="0"/>
                <w:bCs w:val="0"/>
                <w:sz w:val="21"/>
                <w:szCs w:val="21"/>
                <w:lang w:val="en-US" w:eastAsia="zh-CN"/>
              </w:rPr>
              <w:t xml:space="preserve">供应商</w:t>
            </w:r>
            <w:r>
              <w:rPr>
                <w:rFonts w:hint="eastAsia" w:ascii="宋体" w:hAnsi="宋体" w:cs="宋体"/>
                <w:b w:val="0"/>
                <w:bCs w:val="0"/>
                <w:sz w:val="21"/>
                <w:szCs w:val="21"/>
              </w:rPr>
              <w:t xml:space="preserve">需根据项目内容提供各项规章制度</w:t>
            </w:r>
            <w:r>
              <w:rPr>
                <w:rFonts w:hint="eastAsia" w:ascii="宋体" w:hAnsi="宋体" w:cs="宋体"/>
                <w:b w:val="0"/>
                <w:bCs w:val="0"/>
                <w:sz w:val="21"/>
                <w:szCs w:val="21"/>
                <w:lang w:eastAsia="zh-CN"/>
              </w:rPr>
              <w:t xml:space="preserve">，内容需从制度建设、执行情况、档案管理完整性、规范性、利用价值等维度综合考量。</w:t>
            </w:r>
            <w:r>
              <w:rPr>
                <w:rFonts w:hint="eastAsia" w:ascii="宋体" w:hAnsi="宋体" w:cs="宋体"/>
                <w:b w:val="0"/>
                <w:bCs w:val="0"/>
                <w:sz w:val="21"/>
                <w:szCs w:val="21"/>
                <w:lang w:eastAsia="zh-CN"/>
              </w:rPr>
            </w:r>
            <w:r/>
          </w:p>
          <w:p>
            <w:pPr>
              <w:pStyle w:val="1197"/>
              <w:numPr>
                <w:ilvl w:val="0"/>
                <w:numId w:val="0"/>
              </w:numPr>
              <w:jc w:val="left"/>
              <w:widowControl/>
              <w:rPr>
                <w:rFonts w:hint="eastAsia" w:ascii="宋体" w:hAnsi="宋体" w:cs="宋体"/>
                <w:b w:val="0"/>
                <w:bCs w:val="0"/>
                <w:sz w:val="21"/>
                <w:szCs w:val="21"/>
                <w:lang w:eastAsia="zh-CN"/>
              </w:rPr>
              <w:framePr w:vAnchor="text" w:hAnchor="page" w:x="1698" w:y="185"/>
            </w:pPr>
            <w:r>
              <w:rPr>
                <w:rFonts w:hint="eastAsia" w:ascii="宋体" w:hAnsi="宋体" w:cs="宋体"/>
                <w:b w:val="0"/>
                <w:bCs w:val="0"/>
                <w:sz w:val="21"/>
                <w:szCs w:val="21"/>
                <w:lang w:val="en-US" w:eastAsia="zh-CN" w:bidi="ar-SA"/>
              </w:rPr>
              <w:t xml:space="preserve">（1）</w:t>
            </w:r>
            <w:r>
              <w:rPr>
                <w:rFonts w:hint="eastAsia" w:ascii="宋体" w:hAnsi="宋体" w:cs="宋体"/>
                <w:b w:val="0"/>
                <w:bCs w:val="0"/>
                <w:sz w:val="21"/>
                <w:szCs w:val="21"/>
              </w:rPr>
              <w:t xml:space="preserve">完善、合理（有内部管理制度、主要工作岗位工作职责、档案管理制度等）可行、科学、先进、完整的得</w:t>
            </w:r>
            <w:r>
              <w:rPr>
                <w:rFonts w:hint="eastAsia" w:ascii="宋体" w:hAnsi="宋体" w:cs="宋体"/>
                <w:b w:val="0"/>
                <w:bCs w:val="0"/>
                <w:sz w:val="21"/>
                <w:szCs w:val="21"/>
                <w:lang w:val="en-US" w:eastAsia="zh-CN"/>
              </w:rPr>
              <w:t xml:space="preserve">10</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eastAsia="zh-CN"/>
              </w:rPr>
            </w:r>
            <w:r/>
          </w:p>
          <w:p>
            <w:pPr>
              <w:pStyle w:val="1197"/>
              <w:numPr>
                <w:ilvl w:val="0"/>
                <w:numId w:val="0"/>
              </w:numPr>
              <w:jc w:val="left"/>
              <w:widowControl/>
              <w:rPr>
                <w:rFonts w:hint="eastAsia"/>
                <w:lang w:eastAsia="zh-CN"/>
              </w:rPr>
              <w:framePr w:vAnchor="text" w:hAnchor="page" w:x="1698" w:y="185"/>
            </w:pPr>
            <w:r>
              <w:rPr>
                <w:rFonts w:hint="eastAsia" w:ascii="宋体" w:hAnsi="宋体" w:cs="宋体"/>
                <w:b w:val="0"/>
                <w:bCs w:val="0"/>
                <w:sz w:val="21"/>
                <w:szCs w:val="21"/>
                <w:lang w:val="en-US" w:eastAsia="zh-CN" w:bidi="ar-SA"/>
              </w:rPr>
              <w:t xml:space="preserve">（2）较</w:t>
            </w:r>
            <w:r>
              <w:rPr>
                <w:rFonts w:hint="eastAsia" w:ascii="宋体" w:hAnsi="宋体" w:cs="宋体"/>
                <w:b w:val="0"/>
                <w:bCs w:val="0"/>
                <w:sz w:val="21"/>
                <w:szCs w:val="21"/>
              </w:rPr>
              <w:t xml:space="preserve">完善合理（有内部管理制度、主要工作岗位工作职责、档案管理制度等）</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较</w:t>
            </w:r>
            <w:r>
              <w:rPr>
                <w:rFonts w:hint="eastAsia" w:ascii="宋体" w:hAnsi="宋体" w:cs="宋体"/>
                <w:b w:val="0"/>
                <w:bCs w:val="0"/>
                <w:sz w:val="21"/>
                <w:szCs w:val="21"/>
              </w:rPr>
              <w:t xml:space="preserve">可行的得</w:t>
            </w:r>
            <w:r>
              <w:rPr>
                <w:rFonts w:hint="eastAsia" w:ascii="宋体" w:hAnsi="宋体" w:cs="宋体"/>
                <w:b w:val="0"/>
                <w:bCs w:val="0"/>
                <w:sz w:val="21"/>
                <w:szCs w:val="21"/>
                <w:lang w:val="en-US" w:eastAsia="zh-CN"/>
              </w:rPr>
              <w:t xml:space="preserve">7</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lang w:eastAsia="zh-CN"/>
              </w:rPr>
            </w:r>
            <w:r/>
          </w:p>
          <w:p>
            <w:pPr>
              <w:pStyle w:val="1197"/>
              <w:jc w:val="left"/>
              <w:widowControl/>
              <w:rPr>
                <w:rFonts w:hint="eastAsia" w:ascii="宋体" w:hAnsi="宋体" w:eastAsia="宋体" w:cs="宋体"/>
                <w:b w:val="0"/>
                <w:bCs w:val="0"/>
                <w:sz w:val="21"/>
                <w:szCs w:val="21"/>
                <w:lang w:eastAsia="zh-CN"/>
              </w:rPr>
              <w:framePr w:vAnchor="text" w:hAnchor="page" w:x="1698" w:y="185"/>
            </w:pP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3</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描述基本完整可行的得</w:t>
            </w:r>
            <w:r>
              <w:rPr>
                <w:rFonts w:hint="eastAsia" w:ascii="宋体" w:hAnsi="宋体" w:cs="宋体"/>
                <w:b w:val="0"/>
                <w:bCs w:val="0"/>
                <w:sz w:val="21"/>
                <w:szCs w:val="21"/>
                <w:lang w:val="en-US" w:eastAsia="zh-CN"/>
              </w:rPr>
              <w:t xml:space="preserve">4</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1197"/>
              <w:jc w:val="left"/>
              <w:widowControl/>
              <w:rPr>
                <w:rFonts w:hint="eastAsia" w:ascii="宋体" w:hAnsi="宋体" w:eastAsia="宋体" w:cs="宋体"/>
                <w:b w:val="0"/>
                <w:bCs w:val="0"/>
                <w:sz w:val="21"/>
                <w:szCs w:val="21"/>
                <w:lang w:eastAsia="zh-CN"/>
              </w:rPr>
              <w:framePr w:vAnchor="text" w:hAnchor="page" w:x="1698" w:y="185"/>
            </w:pP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4</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针对性欠缺、描述一般的得</w:t>
            </w:r>
            <w:r>
              <w:rPr>
                <w:rFonts w:hint="eastAsia" w:ascii="宋体" w:hAnsi="宋体" w:cs="宋体"/>
                <w:b w:val="0"/>
                <w:bCs w:val="0"/>
                <w:sz w:val="21"/>
                <w:szCs w:val="21"/>
                <w:lang w:val="en-US" w:eastAsia="zh-CN"/>
              </w:rPr>
              <w:t xml:space="preserve">1</w:t>
            </w:r>
            <w:r>
              <w:rPr>
                <w:rFonts w:hint="eastAsia" w:ascii="宋体" w:hAnsi="宋体" w:cs="宋体"/>
                <w:b w:val="0"/>
                <w:bCs w:val="0"/>
                <w:sz w:val="21"/>
                <w:szCs w:val="21"/>
              </w:rPr>
              <w:t xml:space="preserve">分</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1197"/>
              <w:jc w:val="left"/>
              <w:widowControl/>
              <w:rPr>
                <w:rFonts w:hint="eastAsia" w:ascii="宋体" w:hAnsi="宋体" w:eastAsia="宋体" w:cs="宋体"/>
                <w:color w:val="000000"/>
                <w:sz w:val="21"/>
                <w:szCs w:val="24"/>
                <w:highlight w:val="none"/>
                <w:lang w:val="en-US" w:eastAsia="zh-CN" w:bidi="ar-SA"/>
              </w:rPr>
              <w:framePr w:vAnchor="text" w:hAnchor="page" w:x="1698" w:y="185"/>
            </w:pP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5</w:t>
            </w:r>
            <w:r>
              <w:rPr>
                <w:rFonts w:hint="eastAsia" w:ascii="宋体" w:hAnsi="宋体" w:cs="宋体"/>
                <w:b w:val="0"/>
                <w:bCs w:val="0"/>
                <w:sz w:val="21"/>
                <w:szCs w:val="21"/>
                <w:lang w:eastAsia="zh-CN"/>
              </w:rPr>
              <w:t xml:space="preserve">）</w:t>
            </w:r>
            <w:r>
              <w:rPr>
                <w:rFonts w:hint="eastAsia" w:ascii="宋体" w:hAnsi="宋体" w:cs="宋体"/>
                <w:color w:val="000000"/>
                <w:szCs w:val="21"/>
                <w:lang w:val="en-US" w:eastAsia="zh-CN"/>
              </w:rPr>
              <w:t xml:space="preserve">未提供不得分</w:t>
            </w:r>
            <w:r>
              <w:rPr>
                <w:rFonts w:hint="eastAsia" w:ascii="宋体" w:hAnsi="宋体" w:cs="宋体"/>
                <w:color w:val="000000"/>
                <w:szCs w:val="21"/>
              </w:rPr>
              <w:t xml:space="preserve">。</w:t>
            </w:r>
            <w:r>
              <w:rPr>
                <w:rFonts w:hint="eastAsia" w:ascii="宋体" w:hAnsi="宋体" w:eastAsia="宋体" w:cs="宋体"/>
                <w:color w:val="000000"/>
                <w:sz w:val="21"/>
                <w:szCs w:val="24"/>
                <w:highlight w:val="none"/>
                <w:lang w:val="en-US" w:eastAsia="zh-CN" w:bidi="ar-SA"/>
              </w:rPr>
            </w:r>
            <w:r/>
          </w:p>
        </w:tc>
        <w:tc>
          <w:tcPr>
            <w:tcW w:w="2456" w:type="dxa"/>
            <w:vAlign w:val="center"/>
            <w:textDirection w:val="lrTb"/>
            <w:noWrap w:val="false"/>
          </w:tcPr>
          <w:p>
            <w:pPr>
              <w:pStyle w:val="1197"/>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r>
            <w:r/>
          </w:p>
        </w:tc>
      </w:tr>
      <w:tr>
        <w:trPr>
          <w:trHeight w:val="507"/>
        </w:trPr>
        <w:tc>
          <w:tcPr>
            <w:gridSpan w:val="2"/>
            <w:tcW w:w="2108" w:type="dxa"/>
            <w:vAlign w:val="center"/>
            <w:textDirection w:val="lrTb"/>
            <w:noWrap w:val="false"/>
          </w:tcPr>
          <w:p>
            <w:pPr>
              <w:pStyle w:val="1197"/>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684" w:type="dxa"/>
            <w:vAlign w:val="center"/>
            <w:textDirection w:val="lrTb"/>
            <w:noWrap w:val="false"/>
          </w:tcPr>
          <w:p>
            <w:pPr>
              <w:pStyle w:val="1197"/>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gridSpan w:val="2"/>
            <w:tcW w:w="6836" w:type="dxa"/>
            <w:vAlign w:val="center"/>
            <w:textDirection w:val="lrTb"/>
            <w:noWrap w:val="false"/>
          </w:tcPr>
          <w:p>
            <w:pPr>
              <w:pStyle w:val="1197"/>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bl>
    <w:p>
      <w:pPr>
        <w:pStyle w:val="1197"/>
        <w:jc w:val="both"/>
        <w:spacing w:line="360" w:lineRule="auto"/>
        <w:rPr>
          <w:b/>
          <w:sz w:val="32"/>
          <w:szCs w:val="32"/>
          <w:highlight w:val="none"/>
        </w:rPr>
        <w:outlineLvl w:val="0"/>
      </w:pPr>
      <w:r/>
      <w:bookmarkStart w:id="669" w:name="_Toc104818928"/>
      <w:r>
        <w:rPr>
          <w:b/>
          <w:sz w:val="32"/>
          <w:szCs w:val="32"/>
          <w:highlight w:val="none"/>
        </w:rPr>
      </w:r>
      <w:r/>
    </w:p>
    <w:p>
      <w:pPr>
        <w:pStyle w:val="1197"/>
        <w:jc w:val="center"/>
        <w:spacing w:line="360" w:lineRule="auto"/>
        <w:rPr>
          <w:sz w:val="24"/>
          <w:highlight w:val="none"/>
        </w:rPr>
        <w:outlineLvl w:val="0"/>
      </w:pPr>
      <w:r>
        <w:rPr>
          <w:b/>
          <w:sz w:val="32"/>
          <w:szCs w:val="32"/>
          <w:highlight w:val="none"/>
        </w:rPr>
        <w:br w:type="page" w:clear="all"/>
      </w:r>
      <w:r>
        <w:rPr>
          <w:b/>
          <w:sz w:val="32"/>
          <w:szCs w:val="32"/>
          <w:highlight w:val="none"/>
        </w:rPr>
        <w:t xml:space="preserve">第四章   采购需求</w:t>
      </w:r>
      <w:bookmarkEnd w:id="669"/>
      <w:r>
        <w:rPr>
          <w:sz w:val="24"/>
          <w:highlight w:val="none"/>
        </w:rPr>
      </w:r>
      <w:r/>
    </w:p>
    <w:p>
      <w:pPr>
        <w:pStyle w:val="1298"/>
        <w:numPr>
          <w:ilvl w:val="0"/>
          <w:numId w:val="0"/>
        </w:numPr>
        <w:contextualSpacing/>
        <w:ind w:left="500" w:hanging="500"/>
        <w:keepLines w:val="0"/>
        <w:keepNext w:val="0"/>
        <w:pageBreakBefore w:val="0"/>
        <w:spacing w:line="400" w:lineRule="exact"/>
        <w:widowControl w:val="off"/>
        <w:rPr>
          <w:rFonts w:hint="eastAsia" w:ascii="宋体" w:hAnsi="宋体" w:eastAsia="宋体" w:cs="宋体"/>
          <w:b/>
          <w:sz w:val="21"/>
          <w:szCs w:val="21"/>
          <w:highlight w:val="none"/>
          <w:lang w:val="en-US" w:eastAsia="zh-CN" w:bidi="ar-SA"/>
        </w:rPr>
      </w:pPr>
      <w:r/>
      <w:bookmarkStart w:id="670" w:name="_Toc3599"/>
      <w:r/>
      <w:bookmarkStart w:id="671" w:name="_Toc2242"/>
      <w:r>
        <w:rPr>
          <w:rFonts w:hint="eastAsia" w:ascii="宋体" w:hAnsi="宋体" w:eastAsia="宋体" w:cs="宋体"/>
          <w:b/>
          <w:sz w:val="21"/>
          <w:szCs w:val="21"/>
          <w:highlight w:val="none"/>
          <w:lang w:val="en-US" w:eastAsia="zh-CN" w:bidi="ar-SA"/>
        </w:rPr>
        <w:t xml:space="preserve">一、采购标的</w:t>
      </w:r>
      <w:r>
        <w:rPr>
          <w:rFonts w:hint="eastAsia" w:ascii="宋体" w:hAnsi="宋体" w:eastAsia="宋体" w:cs="宋体"/>
          <w:b/>
          <w:sz w:val="21"/>
          <w:szCs w:val="21"/>
          <w:highlight w:val="none"/>
          <w:lang w:val="en-US" w:eastAsia="zh-CN" w:bidi="ar-SA"/>
        </w:rPr>
      </w:r>
      <w:r/>
    </w:p>
    <w:p>
      <w:pPr>
        <w:pStyle w:val="1197"/>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1.项目名称：工舍路（兰陵北路-清南桥）道路清扫保洁作业服务项目</w:t>
      </w:r>
      <w:r>
        <w:rPr>
          <w:rFonts w:hint="eastAsia" w:ascii="宋体" w:hAnsi="宋体" w:eastAsia="宋体" w:cs="宋体"/>
          <w:color w:val="000000"/>
          <w:sz w:val="21"/>
          <w:szCs w:val="21"/>
          <w:highlight w:val="none"/>
          <w:lang w:val="en-US" w:eastAsia="zh-CN"/>
        </w:rPr>
      </w:r>
      <w:r/>
    </w:p>
    <w:p>
      <w:pPr>
        <w:pStyle w:val="1197"/>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项目预算金额</w:t>
      </w:r>
      <w:r>
        <w:rPr>
          <w:rFonts w:hint="eastAsia" w:ascii="宋体" w:hAnsi="宋体" w:eastAsia="宋体" w:cs="宋体"/>
          <w:b w:val="0"/>
          <w:bCs w:val="0"/>
          <w:color w:val="000000"/>
          <w:sz w:val="21"/>
          <w:szCs w:val="21"/>
          <w:highlight w:val="none"/>
          <w:u w:val="none"/>
        </w:rPr>
        <w:t xml:space="preserve">：</w:t>
      </w:r>
      <w:r>
        <w:rPr>
          <w:rFonts w:hint="eastAsia" w:ascii="宋体" w:hAnsi="宋体" w:eastAsia="宋体" w:cs="宋体"/>
          <w:b/>
          <w:bCs/>
          <w:color w:val="000000"/>
          <w:sz w:val="21"/>
          <w:szCs w:val="21"/>
          <w:highlight w:val="none"/>
          <w:u w:val="single"/>
        </w:rPr>
        <w:t xml:space="preserve">59.2</w:t>
      </w:r>
      <w:r>
        <w:rPr>
          <w:rFonts w:hint="eastAsia" w:ascii="宋体" w:hAnsi="宋体" w:eastAsia="宋体" w:cs="宋体"/>
          <w:b/>
          <w:bCs/>
          <w:color w:val="000000"/>
          <w:sz w:val="21"/>
          <w:szCs w:val="21"/>
          <w:highlight w:val="none"/>
          <w:u w:val="single"/>
          <w:lang w:val="en-US" w:eastAsia="zh-CN"/>
        </w:rPr>
        <w:t xml:space="preserve">万元</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59.2万元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197"/>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★二、商务要求</w:t>
      </w:r>
      <w:r>
        <w:rPr>
          <w:rFonts w:hint="eastAsia" w:ascii="宋体" w:hAnsi="宋体"/>
          <w:b/>
          <w:bCs/>
          <w:color w:val="000000"/>
          <w:szCs w:val="22"/>
          <w:highlight w:val="none"/>
        </w:rPr>
      </w:r>
      <w:r/>
    </w:p>
    <w:p>
      <w:pPr>
        <w:pStyle w:val="1197"/>
        <w:ind w:firstLine="420"/>
        <w:keepLines w:val="0"/>
        <w:keepNext w:val="0"/>
        <w:pageBreakBefore w:val="0"/>
        <w:spacing w:line="400" w:lineRule="exact"/>
        <w:widowControl w:val="off"/>
        <w:rPr>
          <w:rFonts w:hint="eastAsia" w:ascii="宋体" w:hAnsi="宋体" w:eastAsia="宋体"/>
          <w:color w:val="000000"/>
          <w:szCs w:val="22"/>
          <w:highlight w:val="none"/>
          <w:lang w:eastAsia="zh-CN"/>
        </w:rPr>
      </w:pPr>
      <w:r>
        <w:rPr>
          <w:rFonts w:hint="eastAsia" w:ascii="宋体" w:hAnsi="宋体"/>
          <w:color w:val="000000"/>
          <w:szCs w:val="22"/>
          <w:highlight w:val="none"/>
        </w:rPr>
        <w:t xml:space="preserve">1</w:t>
      </w:r>
      <w:r>
        <w:rPr>
          <w:rFonts w:hint="eastAsia" w:ascii="宋体" w:hAnsi="宋体"/>
          <w:color w:val="000000"/>
          <w:szCs w:val="22"/>
          <w:highlight w:val="none"/>
          <w:lang w:eastAsia="zh-CN"/>
        </w:rPr>
        <w:t xml:space="preserve">.</w:t>
      </w:r>
      <w:r>
        <w:rPr>
          <w:rFonts w:hint="eastAsia" w:ascii="宋体" w:hAnsi="宋体"/>
          <w:color w:val="000000"/>
          <w:szCs w:val="22"/>
          <w:highlight w:val="none"/>
        </w:rPr>
        <w:t xml:space="preserve">合同履行期限：</w:t>
      </w:r>
      <w:r>
        <w:rPr>
          <w:rFonts w:hint="eastAsia" w:ascii="宋体" w:hAnsi="宋体"/>
          <w:b/>
          <w:bCs/>
          <w:color w:val="000000"/>
          <w:szCs w:val="22"/>
          <w:highlight w:val="none"/>
          <w:u w:val="single"/>
          <w:lang w:eastAsia="zh-CN"/>
        </w:rPr>
        <w:t xml:space="preserve">贰年，自2026年1月1日至2027年12月31日止。合同一年一签，一年合同期满后经采购人考核合格后可续签下一年合同。</w:t>
      </w:r>
      <w:r>
        <w:rPr>
          <w:rFonts w:hint="eastAsia" w:ascii="宋体" w:hAnsi="宋体" w:eastAsia="宋体"/>
          <w:color w:val="000000"/>
          <w:szCs w:val="22"/>
          <w:highlight w:val="none"/>
          <w:lang w:eastAsia="zh-CN"/>
        </w:rPr>
      </w:r>
      <w:r/>
    </w:p>
    <w:p>
      <w:pPr>
        <w:pStyle w:val="1197"/>
        <w:ind w:firstLine="420"/>
        <w:keepLines w:val="0"/>
        <w:keepNext w:val="0"/>
        <w:pageBreakBefore w:val="0"/>
        <w:spacing w:line="400" w:lineRule="exact"/>
        <w:widowControl w:val="off"/>
        <w:rPr>
          <w:rFonts w:hint="eastAsia" w:ascii="宋体" w:hAnsi="宋体"/>
          <w:b/>
          <w:bCs/>
          <w:color w:val="000000"/>
          <w:szCs w:val="22"/>
          <w:highlight w:val="none"/>
          <w:u w:val="none"/>
        </w:rPr>
      </w:pPr>
      <w:r>
        <w:rPr>
          <w:rFonts w:hint="eastAsia" w:ascii="宋体" w:hAnsi="宋体"/>
          <w:color w:val="000000"/>
          <w:szCs w:val="22"/>
          <w:highlight w:val="none"/>
        </w:rPr>
        <w:t xml:space="preserve">2</w:t>
      </w:r>
      <w:r>
        <w:rPr>
          <w:rFonts w:hint="eastAsia" w:ascii="宋体" w:hAnsi="宋体"/>
          <w:color w:val="000000"/>
          <w:szCs w:val="22"/>
          <w:highlight w:val="none"/>
          <w:lang w:eastAsia="zh-CN"/>
        </w:rPr>
        <w:t xml:space="preserve">.</w:t>
      </w:r>
      <w:r>
        <w:rPr>
          <w:rFonts w:hint="eastAsia" w:ascii="宋体" w:hAnsi="宋体"/>
          <w:color w:val="000000"/>
          <w:szCs w:val="22"/>
          <w:highlight w:val="none"/>
        </w:rPr>
        <w:t xml:space="preserve">付款条件：</w:t>
      </w:r>
      <w:r>
        <w:rPr>
          <w:rFonts w:hint="eastAsia" w:ascii="宋体" w:hAnsi="宋体"/>
          <w:b/>
          <w:bCs/>
          <w:color w:val="000000"/>
          <w:szCs w:val="22"/>
          <w:highlight w:val="none"/>
          <w:u w:val="single"/>
          <w:lang w:eastAsia="zh-CN"/>
        </w:rPr>
        <w:t xml:space="preserve">（</w:t>
      </w:r>
      <w:r>
        <w:rPr>
          <w:rFonts w:hint="eastAsia" w:ascii="宋体" w:hAnsi="宋体"/>
          <w:b/>
          <w:bCs/>
          <w:color w:val="000000"/>
          <w:szCs w:val="22"/>
          <w:highlight w:val="none"/>
          <w:u w:val="single"/>
          <w:lang w:val="en-US" w:eastAsia="zh-CN"/>
        </w:rPr>
        <w:t xml:space="preserve">1</w:t>
      </w:r>
      <w:r>
        <w:rPr>
          <w:rFonts w:hint="eastAsia" w:ascii="宋体" w:hAnsi="宋体"/>
          <w:b/>
          <w:bCs/>
          <w:color w:val="000000"/>
          <w:szCs w:val="22"/>
          <w:highlight w:val="none"/>
          <w:u w:val="single"/>
          <w:lang w:eastAsia="zh-CN"/>
        </w:rPr>
        <w:t xml:space="preserve">）</w:t>
      </w:r>
      <w:r>
        <w:rPr>
          <w:rFonts w:hint="eastAsia" w:ascii="宋体" w:hAnsi="宋体"/>
          <w:b/>
          <w:bCs/>
          <w:color w:val="000000"/>
          <w:szCs w:val="22"/>
          <w:highlight w:val="none"/>
          <w:u w:val="single"/>
        </w:rPr>
        <w:t xml:space="preserve">按月付款，采购人按时向成交供应商支付已完工（即上月）的作业服务款。</w:t>
      </w:r>
      <w:r>
        <w:rPr>
          <w:rFonts w:hint="eastAsia" w:ascii="宋体" w:hAnsi="宋体"/>
          <w:b/>
          <w:bCs/>
          <w:color w:val="000000"/>
          <w:szCs w:val="22"/>
          <w:highlight w:val="none"/>
          <w:u w:val="single"/>
          <w:lang w:eastAsia="zh-CN"/>
        </w:rPr>
        <w:t xml:space="preserve">（</w:t>
      </w:r>
      <w:r>
        <w:rPr>
          <w:rFonts w:hint="eastAsia" w:ascii="宋体" w:hAnsi="宋体"/>
          <w:b/>
          <w:bCs/>
          <w:color w:val="000000"/>
          <w:szCs w:val="22"/>
          <w:highlight w:val="none"/>
          <w:u w:val="single"/>
          <w:lang w:val="en-US" w:eastAsia="zh-CN"/>
        </w:rPr>
        <w:t xml:space="preserve">2</w:t>
      </w:r>
      <w:r>
        <w:rPr>
          <w:rFonts w:hint="eastAsia" w:ascii="宋体" w:hAnsi="宋体"/>
          <w:b/>
          <w:bCs/>
          <w:color w:val="000000"/>
          <w:szCs w:val="22"/>
          <w:highlight w:val="none"/>
          <w:u w:val="single"/>
          <w:lang w:eastAsia="zh-CN"/>
        </w:rPr>
        <w:t xml:space="preserve">）</w:t>
      </w:r>
      <w:r>
        <w:rPr>
          <w:rFonts w:hint="eastAsia" w:ascii="宋体" w:hAnsi="宋体"/>
          <w:b/>
          <w:bCs/>
          <w:color w:val="000000"/>
          <w:szCs w:val="22"/>
          <w:highlight w:val="none"/>
          <w:u w:val="single"/>
        </w:rPr>
        <w:t xml:space="preserve">付款时间：次月支付，成交供应商凭街道考核表向采购人申报。</w:t>
      </w:r>
      <w:r>
        <w:rPr>
          <w:rFonts w:hint="eastAsia" w:ascii="宋体" w:hAnsi="宋体"/>
          <w:b/>
          <w:bCs/>
          <w:color w:val="000000"/>
          <w:szCs w:val="22"/>
          <w:highlight w:val="none"/>
          <w:u w:val="single"/>
          <w:lang w:eastAsia="zh-CN"/>
        </w:rPr>
        <w:t xml:space="preserve">（</w:t>
      </w:r>
      <w:r>
        <w:rPr>
          <w:rFonts w:hint="eastAsia" w:ascii="宋体" w:hAnsi="宋体"/>
          <w:b/>
          <w:bCs/>
          <w:color w:val="000000"/>
          <w:szCs w:val="22"/>
          <w:highlight w:val="none"/>
          <w:u w:val="single"/>
          <w:lang w:val="en-US" w:eastAsia="zh-CN"/>
        </w:rPr>
        <w:t xml:space="preserve">3</w:t>
      </w:r>
      <w:r>
        <w:rPr>
          <w:rFonts w:hint="eastAsia" w:ascii="宋体" w:hAnsi="宋体"/>
          <w:b/>
          <w:bCs/>
          <w:color w:val="000000"/>
          <w:szCs w:val="22"/>
          <w:highlight w:val="none"/>
          <w:u w:val="single"/>
          <w:lang w:eastAsia="zh-CN"/>
        </w:rPr>
        <w:t xml:space="preserve">）</w:t>
      </w:r>
      <w:r>
        <w:rPr>
          <w:rFonts w:hint="eastAsia" w:ascii="宋体" w:hAnsi="宋体"/>
          <w:b/>
          <w:bCs/>
          <w:color w:val="000000"/>
          <w:szCs w:val="22"/>
          <w:highlight w:val="none"/>
          <w:u w:val="single"/>
        </w:rPr>
        <w:t xml:space="preserve">扣款方式：结合《环卫作业考评奖惩办法》、《环卫作业考评细则》进行考核年度结算，发生扣款直接在第四季度一次性扣除结算</w:t>
      </w:r>
      <w:r>
        <w:rPr>
          <w:rFonts w:hint="eastAsia" w:ascii="宋体" w:hAnsi="宋体"/>
          <w:b/>
          <w:bCs/>
          <w:color w:val="000000"/>
          <w:szCs w:val="22"/>
          <w:highlight w:val="none"/>
          <w:u w:val="none"/>
        </w:rPr>
        <w:t xml:space="preserve">。</w:t>
      </w:r>
      <w:r>
        <w:rPr>
          <w:rFonts w:hint="eastAsia" w:ascii="宋体" w:hAnsi="宋体"/>
          <w:b/>
          <w:bCs/>
          <w:color w:val="000000"/>
          <w:szCs w:val="22"/>
          <w:highlight w:val="none"/>
          <w:u w:val="none"/>
        </w:rPr>
      </w:r>
      <w:r/>
    </w:p>
    <w:p>
      <w:pPr>
        <w:pStyle w:val="1197"/>
        <w:ind w:firstLine="420"/>
        <w:keepLines w:val="0"/>
        <w:keepNext w:val="0"/>
        <w:pageBreakBefore w:val="0"/>
        <w:spacing w:line="400" w:lineRule="exact"/>
        <w:widowControl w:val="off"/>
        <w:rPr>
          <w:rFonts w:hint="eastAsia" w:ascii="宋体" w:hAnsi="宋体"/>
          <w:color w:val="000000"/>
          <w:szCs w:val="22"/>
          <w:highlight w:val="none"/>
        </w:rPr>
      </w:pPr>
      <w:r>
        <w:rPr>
          <w:rFonts w:hint="eastAsia" w:ascii="宋体" w:hAnsi="宋体"/>
          <w:b w:val="0"/>
          <w:bCs w:val="0"/>
          <w:color w:val="000000"/>
          <w:szCs w:val="22"/>
          <w:highlight w:val="none"/>
          <w:u w:val="none"/>
          <w:lang w:val="en-US" w:eastAsia="zh-CN"/>
        </w:rPr>
        <w:t xml:space="preserve">3.费用结算办法：</w:t>
      </w:r>
      <w:r>
        <w:rPr>
          <w:rFonts w:hint="eastAsia" w:ascii="宋体" w:hAnsi="宋体"/>
          <w:b/>
          <w:bCs/>
          <w:color w:val="000000"/>
          <w:szCs w:val="22"/>
          <w:highlight w:val="none"/>
          <w:u w:val="single"/>
          <w:lang w:val="en-US" w:eastAsia="zh-CN"/>
        </w:rPr>
        <w:t xml:space="preserve">根据《常州市城市长效综合管理考评标准及扣分细则》、《天宁区政府环境卫生作业考评细则》拨付资金。若今后若道路保洁级别增加，按照最新的保洁要求进行考核和费用结算。由国家政策调整（最低工资标准、社保比例及缴费基数等）而调整的服务费用，由采购人承担。</w:t>
      </w:r>
      <w:r>
        <w:rPr>
          <w:rFonts w:hint="eastAsia" w:ascii="宋体" w:hAnsi="宋体"/>
          <w:color w:val="000000"/>
          <w:szCs w:val="22"/>
          <w:highlight w:val="none"/>
        </w:rPr>
      </w:r>
      <w:r/>
    </w:p>
    <w:p>
      <w:pPr>
        <w:pStyle w:val="1197"/>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★三、技术要求</w:t>
      </w:r>
      <w:r>
        <w:rPr>
          <w:rFonts w:hint="eastAsia" w:ascii="宋体" w:hAnsi="宋体"/>
          <w:b/>
          <w:bCs/>
          <w:color w:val="000000"/>
          <w:szCs w:val="22"/>
          <w:highlight w:val="none"/>
        </w:rPr>
      </w:r>
      <w:r/>
    </w:p>
    <w:p>
      <w:pPr>
        <w:pStyle w:val="1298"/>
        <w:contextualSpacing/>
        <w:ind w:firstLine="422"/>
        <w:jc w:val="left"/>
        <w:keepLines w:val="0"/>
        <w:keepNext w:val="0"/>
        <w:pageBreakBefore w:val="0"/>
        <w:spacing w:line="40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（一）作业量清单</w:t>
      </w:r>
      <w:r>
        <w:rPr>
          <w:rFonts w:hint="eastAsia" w:ascii="宋体" w:hAnsi="宋体" w:eastAsia="宋体" w:cs="宋体"/>
          <w:b/>
          <w:sz w:val="21"/>
          <w:szCs w:val="21"/>
          <w:highlight w:val="none"/>
        </w:rPr>
      </w:r>
      <w:r/>
    </w:p>
    <w:tbl>
      <w:tblPr>
        <w:tblW w:w="10317" w:type="dxa"/>
        <w:tblInd w:w="-701" w:type="dxa"/>
        <w:tblLayout w:type="fixed"/>
        <w:tblCellMar>
          <w:left w:w="108" w:type="dxa"/>
          <w:top w:w="0" w:type="dxa"/>
          <w:right w:w="108" w:type="dxa"/>
          <w:bottom w:w="0" w:type="dxa"/>
        </w:tblCellMar>
        <w:tblLook w:val="04A0" w:firstRow="1" w:lastRow="0" w:firstColumn="1" w:lastColumn="0" w:noHBand="0" w:noVBand="1"/>
      </w:tblPr>
      <w:tblGrid>
        <w:gridCol w:w="741"/>
        <w:gridCol w:w="1470"/>
        <w:gridCol w:w="2001"/>
        <w:gridCol w:w="673"/>
        <w:gridCol w:w="454"/>
        <w:gridCol w:w="561"/>
        <w:gridCol w:w="668"/>
        <w:gridCol w:w="1304"/>
        <w:gridCol w:w="894"/>
        <w:gridCol w:w="774"/>
        <w:gridCol w:w="777"/>
      </w:tblGrid>
      <w:tr>
        <w:trPr>
          <w:trHeight w:val="408"/>
        </w:trPr>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序号</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道路名称</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起讫地点</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道路  等级</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保洁时间</w:t>
            </w:r>
            <w:r>
              <w:rPr>
                <w:rFonts w:hint="eastAsia" w:ascii="宋体" w:hAnsi="宋体" w:eastAsia="宋体" w:cs="宋体"/>
                <w:color w:val="000000"/>
                <w:sz w:val="21"/>
                <w:szCs w:val="21"/>
              </w:rPr>
            </w:r>
            <w:r/>
          </w:p>
        </w:tc>
        <w:tc>
          <w:tcPr>
            <w:gridSpan w:val="4"/>
            <w:tcBorders>
              <w:top w:val="single" w:color="000000" w:sz="4" w:space="0"/>
              <w:left w:val="single" w:color="000000" w:sz="4" w:space="0"/>
              <w:bottom w:val="single" w:color="000000" w:sz="4" w:space="0"/>
              <w:right w:val="single" w:color="000000" w:sz="4" w:space="0"/>
            </w:tcBorders>
            <w:tcW w:w="3427"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道路面积（平方米）</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4" w:type="dxa"/>
            <w:vAlign w:val="center"/>
            <w:vMerge w:val="restart"/>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绿化合计（平方米）</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果壳箱（只）</w:t>
            </w:r>
            <w:r>
              <w:rPr>
                <w:rFonts w:hint="eastAsia" w:ascii="宋体" w:hAnsi="宋体" w:eastAsia="宋体" w:cs="宋体"/>
                <w:color w:val="000000"/>
                <w:sz w:val="21"/>
                <w:szCs w:val="21"/>
              </w:rPr>
            </w:r>
            <w:r/>
          </w:p>
        </w:tc>
      </w:tr>
      <w:tr>
        <w:trPr>
          <w:trHeight w:val="606"/>
        </w:trPr>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机动车道</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非机动车道</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89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人行道</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372"/>
        </w:trPr>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长</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(m)</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面积</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面积</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面积</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6"/>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工舍路</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Style w:val="1459"/>
                <w:rFonts w:hint="eastAsia" w:ascii="宋体" w:hAnsi="宋体" w:eastAsia="宋体" w:cs="宋体"/>
                <w:sz w:val="21"/>
                <w:szCs w:val="21"/>
                <w:lang w:bidi="ar"/>
              </w:rPr>
              <w:t xml:space="preserve">清南路—兰陵北路</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二级</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892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5695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10558</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6"/>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工舍支路</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Style w:val="1459"/>
                <w:rFonts w:hint="eastAsia" w:ascii="宋体" w:hAnsi="宋体" w:eastAsia="宋体" w:cs="宋体"/>
                <w:sz w:val="21"/>
                <w:szCs w:val="21"/>
                <w:lang w:bidi="ar"/>
              </w:rPr>
              <w:t xml:space="preserve">广仁路——工舍路</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二级</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927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1347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128</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6"/>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清南桥东侧</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二级</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297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6"/>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清南桥西侧</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二级</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1961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25"/>
        </w:trPr>
        <w:tc>
          <w:tcPr>
            <w:gridSpan w:val="3"/>
            <w:tcBorders>
              <w:top w:val="single" w:color="000000" w:sz="4" w:space="0"/>
              <w:left w:val="single" w:color="000000" w:sz="4" w:space="0"/>
              <w:bottom w:val="single" w:color="000000" w:sz="4" w:space="0"/>
              <w:right w:val="single" w:color="000000" w:sz="4" w:space="0"/>
            </w:tcBorders>
            <w:tcW w:w="4212" w:type="dxa"/>
            <w:vAlign w:val="center"/>
            <w:textDirection w:val="lrTb"/>
            <w:noWrap/>
          </w:tcPr>
          <w:p>
            <w:pPr>
              <w:pStyle w:val="1197"/>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合       计</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6622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14163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1197"/>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275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pStyle w:val="1197"/>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298"/>
        <w:contextualSpacing/>
        <w:ind w:firstLine="422"/>
        <w:jc w:val="left"/>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（二）作业服务量说明</w:t>
      </w:r>
      <w:r>
        <w:rPr>
          <w:rFonts w:hint="eastAsia" w:ascii="宋体" w:hAnsi="宋体" w:eastAsia="宋体" w:cs="宋体"/>
          <w:b/>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1.作业服务量清单及说明包括本说明、作业量总表及明细表、作业服务范围图。</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2.本作业服务量清单中的作业服务范围包括：</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2.1道路保洁垃圾的收集清运。</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2.2街巷交界处延伸道路的保洁。</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2.3果壳箱、垃圾桶、收集房、垃圾收集点的清洗保洁与垃圾清运(包括零星垃圾包)。</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2.4生活垃圾的收集清运。 </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2.5绿化带保洁。</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lang w:val="zh-CN"/>
        </w:rPr>
      </w:pPr>
      <w:r>
        <w:rPr>
          <w:rFonts w:hint="eastAsia" w:ascii="宋体" w:hAnsi="宋体" w:eastAsia="宋体" w:cs="宋体"/>
          <w:bCs/>
          <w:sz w:val="21"/>
          <w:szCs w:val="21"/>
        </w:rPr>
        <w:t xml:space="preserve">3</w:t>
      </w:r>
      <w:r>
        <w:rPr>
          <w:rFonts w:hint="eastAsia" w:ascii="宋体" w:hAnsi="宋体" w:eastAsia="宋体" w:cs="宋体"/>
          <w:bCs/>
          <w:sz w:val="21"/>
          <w:szCs w:val="21"/>
          <w:lang w:val="zh-CN"/>
        </w:rPr>
        <w:t xml:space="preserve">.合同期内因拆迁、施工等原因减少作业量的，需及时上报采购人的相关职能部门认可，不得自行停工，或改变作业时间与方式。如若不报或上报不及时，其减少作业量的时间由采购人确定。</w:t>
      </w:r>
      <w:r>
        <w:rPr>
          <w:rFonts w:hint="eastAsia" w:ascii="宋体" w:hAnsi="宋体" w:eastAsia="宋体" w:cs="宋体"/>
          <w:bCs/>
          <w:sz w:val="21"/>
          <w:szCs w:val="21"/>
          <w:lang w:val="zh-CN"/>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lang w:val="zh-CN"/>
        </w:rPr>
      </w:pPr>
      <w:r>
        <w:rPr>
          <w:rFonts w:hint="eastAsia" w:ascii="宋体" w:hAnsi="宋体" w:eastAsia="宋体" w:cs="宋体"/>
          <w:bCs/>
          <w:sz w:val="21"/>
          <w:szCs w:val="21"/>
        </w:rPr>
        <w:t xml:space="preserve">4</w:t>
      </w:r>
      <w:r>
        <w:rPr>
          <w:rFonts w:hint="eastAsia" w:ascii="宋体" w:hAnsi="宋体" w:eastAsia="宋体" w:cs="宋体"/>
          <w:bCs/>
          <w:sz w:val="21"/>
          <w:szCs w:val="21"/>
          <w:lang w:val="zh-CN"/>
        </w:rPr>
        <w:t xml:space="preserve">.因突发情况（如台风、雨雪、冰雹、霜或冻等天气或气候因素，或车辆、居民或行人等人为因素，或是其它因素，以及复合因素或不明原因的情况）导致的道路污染必须及时清除，不论这些因素是可预测或不可预测的，均已包含在投标报价中。除采购人要求外，不作调整。</w:t>
      </w:r>
      <w:r>
        <w:rPr>
          <w:rFonts w:hint="eastAsia" w:ascii="宋体" w:hAnsi="宋体" w:eastAsia="宋体" w:cs="宋体"/>
          <w:bCs/>
          <w:sz w:val="21"/>
          <w:szCs w:val="21"/>
          <w:lang w:val="zh-CN"/>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合同期内，实施“门前三包”保洁的道路商业区域的保洁标准与道路保洁标准一致。对于不在道路保洁作业范围内的商业区域，成交供应商不得擅自接手作业，由成交供应商以书面形式报采购人同意后，以《作业派遣单》的形式下达任务后，成交供应商才能开始保洁作业。</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6.合同期内，由于突发事件等原因造成的作业服务范围及工程量以外的增量工作，由采购人以《作业派遣单》的形式下达任务后，成交供应商按采购人要求完成任务后，纳入结算。</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7.作业服务量清单所列面积不包含“街巷交界处清扫保洁应各延伸3米”的作业面积。作业服务量清单中的道路长度仅供参考，实际作业服务范围现场交接时加以明确。</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lang w:val="zh-CN"/>
        </w:rPr>
      </w:pPr>
      <w:r>
        <w:rPr>
          <w:rFonts w:hint="eastAsia" w:ascii="宋体" w:hAnsi="宋体" w:eastAsia="宋体" w:cs="宋体"/>
          <w:bCs/>
          <w:sz w:val="21"/>
          <w:szCs w:val="21"/>
        </w:rPr>
        <w:t xml:space="preserve">8</w:t>
      </w:r>
      <w:r>
        <w:rPr>
          <w:rFonts w:hint="eastAsia" w:ascii="宋体" w:hAnsi="宋体" w:eastAsia="宋体" w:cs="宋体"/>
          <w:bCs/>
          <w:sz w:val="21"/>
          <w:szCs w:val="21"/>
          <w:lang w:val="zh-CN"/>
        </w:rPr>
        <w:t xml:space="preserve">.风险因素的变化，除采购人要求外，投标总价不作调整。</w:t>
      </w:r>
      <w:r>
        <w:rPr>
          <w:rFonts w:hint="eastAsia" w:ascii="宋体" w:hAnsi="宋体" w:eastAsia="宋体" w:cs="宋体"/>
          <w:bCs/>
          <w:sz w:val="21"/>
          <w:szCs w:val="21"/>
          <w:lang w:val="zh-CN"/>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lang w:val="zh-CN"/>
        </w:rPr>
      </w:pPr>
      <w:r>
        <w:rPr>
          <w:rFonts w:hint="eastAsia" w:ascii="宋体" w:hAnsi="宋体" w:eastAsia="宋体" w:cs="宋体"/>
          <w:bCs/>
          <w:sz w:val="21"/>
          <w:szCs w:val="21"/>
        </w:rPr>
        <w:t xml:space="preserve">9</w:t>
      </w:r>
      <w:r>
        <w:rPr>
          <w:rFonts w:hint="eastAsia" w:ascii="宋体" w:hAnsi="宋体" w:eastAsia="宋体" w:cs="宋体"/>
          <w:bCs/>
          <w:sz w:val="21"/>
          <w:szCs w:val="21"/>
          <w:lang w:val="zh-CN"/>
        </w:rPr>
        <w:t xml:space="preserve">.投标报价不得以其他任何形式进行贴补，进行让利时只得对测算利润及管理费用进行让利其他不得让利。</w:t>
      </w:r>
      <w:r>
        <w:rPr>
          <w:rFonts w:hint="eastAsia" w:ascii="宋体" w:hAnsi="宋体" w:eastAsia="宋体" w:cs="宋体"/>
          <w:bCs/>
          <w:sz w:val="21"/>
          <w:szCs w:val="21"/>
          <w:lang w:val="zh-CN"/>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10.成交供应商加强对作业人员的安全教育，每月至少进行一次安全教育。独立承担一切安全责任事故。</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11.由于大气管控、恶劣天气、各类活动、节假日期间等因素导致的费用，均不包含在投标总价中，由成交供应商与采购人另行结算。</w:t>
      </w:r>
      <w:r>
        <w:rPr>
          <w:rFonts w:hint="eastAsia" w:ascii="宋体" w:hAnsi="宋体" w:eastAsia="宋体" w:cs="宋体"/>
          <w:bCs/>
          <w:sz w:val="21"/>
          <w:szCs w:val="21"/>
        </w:rPr>
      </w:r>
      <w:r/>
    </w:p>
    <w:p>
      <w:pPr>
        <w:pStyle w:val="1197"/>
        <w:keepLines w:val="0"/>
        <w:keepNext w:val="0"/>
        <w:pageBreakBefore w:val="0"/>
        <w:spacing w:line="400" w:lineRule="exact"/>
        <w:widowControl w:val="off"/>
        <w:rPr>
          <w:rFonts w:hint="eastAsia" w:ascii="宋体" w:hAnsi="宋体" w:eastAsia="宋体" w:cs="Times New Roman"/>
          <w:b/>
          <w:bCs/>
          <w:color w:val="000000"/>
          <w:szCs w:val="22"/>
          <w:highlight w:val="none"/>
          <w:lang w:val="en-US" w:eastAsia="zh-CN"/>
        </w:rPr>
      </w:pPr>
      <w:r>
        <w:rPr>
          <w:rFonts w:hint="eastAsia" w:ascii="宋体" w:hAnsi="宋体" w:eastAsia="宋体" w:cs="Times New Roman"/>
          <w:b/>
          <w:bCs/>
          <w:color w:val="000000"/>
          <w:szCs w:val="22"/>
          <w:highlight w:val="none"/>
          <w:lang w:val="en-US" w:eastAsia="zh-CN"/>
        </w:rPr>
        <w:t xml:space="preserve">★四、环卫作业服务要求</w:t>
      </w:r>
      <w:r>
        <w:rPr>
          <w:rFonts w:hint="eastAsia" w:ascii="宋体" w:hAnsi="宋体" w:eastAsia="宋体" w:cs="Times New Roman"/>
          <w:b/>
          <w:bCs/>
          <w:color w:val="000000"/>
          <w:szCs w:val="22"/>
          <w:highlight w:val="none"/>
          <w:lang w:val="en-US" w:eastAsia="zh-CN"/>
        </w:rPr>
      </w:r>
      <w:r/>
    </w:p>
    <w:p>
      <w:pPr>
        <w:pStyle w:val="1298"/>
        <w:contextualSpacing/>
        <w:ind w:firstLine="422"/>
        <w:jc w:val="left"/>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（一）机构整体要求</w:t>
      </w:r>
      <w:r>
        <w:rPr>
          <w:rFonts w:hint="eastAsia" w:ascii="宋体" w:hAnsi="宋体" w:eastAsia="宋体" w:cs="宋体"/>
          <w:b/>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1.投标供应商应具有健全的日常清扫保洁自查制度，垃圾清运制度、管理制度、安全生产制度，应急处理预案。</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2.遵守街道办事处的所有规章制度，在作业时应统一着印有公司字样的具有反光标志的工作装。</w:t>
      </w:r>
      <w:r>
        <w:rPr>
          <w:rFonts w:hint="eastAsia" w:ascii="宋体" w:hAnsi="宋体" w:eastAsia="宋体" w:cs="宋体"/>
          <w:bCs/>
          <w:sz w:val="21"/>
          <w:szCs w:val="21"/>
        </w:rPr>
      </w:r>
      <w:r/>
    </w:p>
    <w:p>
      <w:pPr>
        <w:pStyle w:val="1298"/>
        <w:contextualSpacing/>
        <w:ind w:firstLine="422"/>
        <w:jc w:val="left"/>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（二）保洁基本要求</w:t>
      </w:r>
      <w:r>
        <w:rPr>
          <w:rFonts w:hint="eastAsia" w:ascii="宋体" w:hAnsi="宋体" w:eastAsia="宋体" w:cs="宋体"/>
          <w:b/>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1.道路清扫保洁采用人工清扫保洁。</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2.规范道路清扫保洁作业时间、方式。   </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3.12小时道路的大扫必须在每日7:00前完成，均实行不间断保洁作业（15分钟的休息除外）。8小时保洁的道路必须在每日8:00点前完成大扫，下午根据地面污染状况有选择实行局部大扫。高温季节作业时间按法定作业时间或采购人的通知执行。</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4.道路车行道、人行道、草坪砖及树穴内的废弃物，如果皮、纸屑、塑膜、烟蒂、痰迹等，且路面无污水。</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5.全路段清扫无死角，垃圾无漏收；侧石雨水窨井无阻塞；街巷交界处清扫保洁应各延伸3米。</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6.道路及两侧无大件垃圾随意堆放，及时将大件垃圾清运至临时堆放点。</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7.降雪天气，应及时组织铲雪作业。道路融雪后，路面煤渣、灰沙及其它废弃物应及时清扫干净。</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8.保持垃圾房（亭）、果壳箱、垃圾箱（含垃圾不落地收运的垃圾桶，下同）等环卫设施整洁完好。</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8.1环卫设施干净无明显污渍，每日清洗不少于一次；</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8.2环卫设施分类标识完好，且不存在缺盖、破损等问题；</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8.3垃圾箱、桶成对摆放且保持桶盖常盖；</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8.4垃圾桶按规定清运时间合理推出、放置。</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9.保持道路两侧无乱张贴、乱涂写问题，对承包路段两侧的道路设施、建筑物立面上的乱张贴、乱涂写进行及时清理。</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10.保障辖区内各类标志杆牌的干净完好，对公厕指示牌、地铁导向标志杆牌进行擦拭，对非法张贴的广告和乱涂乱写进行及时清理。巡查时，发现标志杆牌破损或被喷涂油漆的情况要及时上报。</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11.清扫保洁工人上岗期间不得有闲聊、窜岗、干私活等违反劳动纪律的情形。</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12.垃圾清运点周围2米内必须打扫干净，无死角，无乱张贴。</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13.垃圾清运车辆必须自觉遵守交通规则，做到安全生产。</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14.垃圾清运车、收集车，做到车辆性能完好、干净整洁。</w:t>
      </w:r>
      <w:r>
        <w:rPr>
          <w:rFonts w:hint="eastAsia" w:ascii="宋体" w:hAnsi="宋体" w:eastAsia="宋体" w:cs="宋体"/>
          <w:bCs/>
          <w:sz w:val="21"/>
          <w:szCs w:val="21"/>
        </w:rPr>
      </w:r>
      <w:r/>
    </w:p>
    <w:p>
      <w:pPr>
        <w:pStyle w:val="1298"/>
        <w:contextualSpacing/>
        <w:ind w:firstLine="422"/>
        <w:jc w:val="left"/>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（三）日常考核要求</w:t>
      </w:r>
      <w:r>
        <w:rPr>
          <w:rFonts w:hint="eastAsia" w:ascii="宋体" w:hAnsi="宋体" w:eastAsia="宋体" w:cs="宋体"/>
          <w:b/>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1.成交供应商须向采购人提供整体要求中的相关台账资料备案。</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2.遇突发事件，采购人有权调动成交供应商人员和车辆参与应对突发事件和自然灾害等。</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3.采购人将根据街道城市长效管理实施细则的要求对成交供应商进行考核奖惩。</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4.成交供应商须严格接受采购人工作组的指导和作业考核，成交供应商凡违反上述任意一条，并按一个问题100元计算在履约担保中扣除。</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5.成交供应商须接受采购人的日常巡查和考核，限时完成整改问题，如类似问题反复出现三次及以上采购人将开具处罚单，并按一个问题500元计算在履约担保中扣除。</w:t>
      </w:r>
      <w:r>
        <w:rPr>
          <w:rFonts w:hint="eastAsia" w:ascii="宋体" w:hAnsi="宋体" w:eastAsia="宋体" w:cs="宋体"/>
          <w:bCs/>
          <w:sz w:val="21"/>
          <w:szCs w:val="21"/>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rPr>
        <w:t xml:space="preserve">6.成交供应商因</w:t>
      </w:r>
      <w:r>
        <w:rPr>
          <w:rFonts w:hint="eastAsia" w:ascii="宋体" w:hAnsi="宋体" w:eastAsia="宋体" w:cs="宋体"/>
          <w:bCs/>
          <w:sz w:val="21"/>
          <w:szCs w:val="21"/>
          <w:highlight w:val="none"/>
        </w:rPr>
        <w:t xml:space="preserve">作业不当被</w:t>
      </w:r>
      <w:r>
        <w:rPr>
          <w:rFonts w:hint="eastAsia" w:ascii="宋体" w:hAnsi="宋体" w:eastAsia="宋体" w:cs="宋体"/>
          <w:bCs/>
          <w:sz w:val="21"/>
          <w:szCs w:val="21"/>
          <w:highlight w:val="none"/>
          <w:lang w:val="en-US" w:eastAsia="zh-CN"/>
        </w:rPr>
        <w:t xml:space="preserve">街道</w:t>
      </w:r>
      <w:r>
        <w:rPr>
          <w:rFonts w:hint="eastAsia" w:ascii="宋体" w:hAnsi="宋体" w:eastAsia="宋体" w:cs="宋体"/>
          <w:bCs/>
          <w:sz w:val="21"/>
          <w:szCs w:val="21"/>
          <w:highlight w:val="none"/>
        </w:rPr>
        <w:t xml:space="preserve">考评考核扣分的，经街道确认为成交供应商责任后按一个问题500元计算在履约担保中扣除。</w:t>
      </w:r>
      <w:r>
        <w:rPr>
          <w:rFonts w:hint="eastAsia" w:ascii="宋体" w:hAnsi="宋体" w:eastAsia="宋体" w:cs="宋体"/>
          <w:bCs/>
          <w:sz w:val="21"/>
          <w:szCs w:val="21"/>
          <w:highlight w:val="none"/>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7.成交供应商因作业不当被常州市考评考核扣分的，经街道确认为成交供应商责任后按一个问题1000元计算在履约担保中扣除。</w:t>
      </w:r>
      <w:r>
        <w:rPr>
          <w:rFonts w:hint="eastAsia" w:ascii="宋体" w:hAnsi="宋体" w:eastAsia="宋体" w:cs="宋体"/>
          <w:bCs/>
          <w:sz w:val="21"/>
          <w:szCs w:val="21"/>
          <w:highlight w:val="none"/>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8.成交供应商因作业不当被媒体曝光或造成群众举报等不良影响造成的,经街道确认为成交供应商责任后按一个问题1000元计算在履约担保中扣除。</w:t>
      </w:r>
      <w:r>
        <w:rPr>
          <w:rFonts w:hint="eastAsia" w:ascii="宋体" w:hAnsi="宋体" w:eastAsia="宋体" w:cs="宋体"/>
          <w:bCs/>
          <w:sz w:val="21"/>
          <w:szCs w:val="21"/>
          <w:highlight w:val="none"/>
        </w:rPr>
      </w:r>
      <w:r/>
    </w:p>
    <w:p>
      <w:pPr>
        <w:pStyle w:val="1298"/>
        <w:contextualSpacing/>
        <w:jc w:val="left"/>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9.绿化带内无成堆或零散成片垃圾等。</w:t>
      </w:r>
      <w:r>
        <w:rPr>
          <w:rFonts w:hint="eastAsia" w:ascii="宋体" w:hAnsi="宋体" w:eastAsia="宋体" w:cs="宋体"/>
          <w:bCs/>
          <w:sz w:val="21"/>
          <w:szCs w:val="21"/>
          <w:highlight w:val="none"/>
        </w:rPr>
      </w:r>
      <w:r/>
    </w:p>
    <w:p>
      <w:pPr>
        <w:pStyle w:val="1298"/>
        <w:contextualSpacing/>
        <w:jc w:val="left"/>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10.本项目配置人员最低要求：</w:t>
      </w:r>
      <w:r>
        <w:rPr>
          <w:rFonts w:hint="eastAsia" w:ascii="宋体" w:hAnsi="宋体" w:eastAsia="宋体" w:cs="宋体"/>
          <w:b/>
          <w:bCs w:val="0"/>
          <w:color w:val="000000"/>
          <w:sz w:val="21"/>
          <w:szCs w:val="21"/>
          <w:highlight w:val="none"/>
          <w:lang w:val="en-US" w:eastAsia="zh-CN"/>
        </w:rPr>
        <w:t xml:space="preserve">3</w:t>
      </w:r>
      <w:r>
        <w:rPr>
          <w:rFonts w:hint="eastAsia" w:ascii="宋体" w:hAnsi="宋体" w:eastAsia="宋体" w:cs="宋体"/>
          <w:b/>
          <w:bCs w:val="0"/>
          <w:color w:val="000000"/>
          <w:sz w:val="21"/>
          <w:szCs w:val="21"/>
          <w:highlight w:val="none"/>
        </w:rPr>
        <w:t xml:space="preserve">名保洁员，1名垃圾收集清运兼职油污冲洗人员，1名负责人兼机动</w:t>
      </w:r>
      <w:r>
        <w:rPr>
          <w:rFonts w:hint="eastAsia" w:ascii="宋体" w:hAnsi="宋体" w:eastAsia="宋体" w:cs="宋体"/>
          <w:bCs/>
          <w:color w:val="000000"/>
          <w:sz w:val="21"/>
          <w:szCs w:val="21"/>
          <w:highlight w:val="none"/>
        </w:rPr>
        <w:t xml:space="preserve">；轮休人员等均已包含在上述最低要求人数中（详见下表）。</w:t>
      </w:r>
      <w:r>
        <w:rPr>
          <w:rFonts w:hint="eastAsia" w:ascii="宋体" w:hAnsi="宋体" w:eastAsia="宋体" w:cs="宋体"/>
          <w:bCs/>
          <w:color w:val="000000"/>
          <w:sz w:val="21"/>
          <w:szCs w:val="21"/>
          <w:highlight w:val="none"/>
        </w:rPr>
      </w:r>
      <w:r/>
    </w:p>
    <w:tbl>
      <w:tblPr>
        <w:tblW w:w="804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271"/>
        <w:gridCol w:w="1923"/>
        <w:gridCol w:w="2186"/>
        <w:gridCol w:w="1665"/>
      </w:tblGrid>
      <w:tr>
        <w:trPr>
          <w:trHeight w:val="500"/>
        </w:trPr>
        <w:tc>
          <w:tcPr>
            <w:gridSpan w:val="4"/>
            <w:tcBorders>
              <w:top w:val="single" w:color="000000" w:sz="4" w:space="0"/>
              <w:left w:val="single" w:color="000000" w:sz="4" w:space="0"/>
              <w:bottom w:val="single" w:color="000000" w:sz="4" w:space="0"/>
              <w:right w:val="single" w:color="000000" w:sz="4" w:space="0"/>
            </w:tcBorders>
            <w:tcW w:w="8045" w:type="dxa"/>
            <w:vAlign w:val="center"/>
            <w:textDirection w:val="lrTb"/>
            <w:noWrap w:val="false"/>
          </w:tcPr>
          <w:p>
            <w:pPr>
              <w:pStyle w:val="1197"/>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劳动力配备（人）</w:t>
            </w:r>
            <w:r>
              <w:rPr>
                <w:rFonts w:hint="eastAsia" w:ascii="宋体" w:hAnsi="宋体" w:eastAsia="宋体" w:cs="宋体"/>
                <w:b/>
                <w:bCs/>
                <w:color w:val="000000"/>
                <w:sz w:val="21"/>
                <w:szCs w:val="21"/>
                <w:highlight w:val="none"/>
              </w:rPr>
            </w:r>
            <w:r/>
          </w:p>
        </w:tc>
      </w:tr>
      <w:tr>
        <w:trPr>
          <w:trHeight w:val="663"/>
        </w:trPr>
        <w:tc>
          <w:tcPr>
            <w:tcBorders>
              <w:top w:val="none" w:color="000000" w:sz="4" w:space="0"/>
              <w:left w:val="single" w:color="000000" w:sz="4" w:space="0"/>
              <w:bottom w:val="single" w:color="000000" w:sz="4" w:space="0"/>
              <w:right w:val="single" w:color="000000" w:sz="4" w:space="0"/>
            </w:tcBorders>
            <w:tcW w:w="2271"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rPr>
              <w:t xml:space="preserve">兼机动人员</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23"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保洁人员</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86"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垃圾收集清运兼职油污冲洗人员</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val="false"/>
          </w:tcPr>
          <w:p>
            <w:pPr>
              <w:pStyle w:val="1197"/>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r>
      <w:tr>
        <w:trPr>
          <w:trHeight w:val="426"/>
        </w:trPr>
        <w:tc>
          <w:tcPr>
            <w:tcBorders>
              <w:top w:val="none" w:color="000000" w:sz="4" w:space="0"/>
              <w:left w:val="single" w:color="000000" w:sz="4" w:space="0"/>
              <w:bottom w:val="single" w:color="000000" w:sz="4" w:space="0"/>
              <w:right w:val="single" w:color="000000" w:sz="4" w:space="0"/>
            </w:tcBorders>
            <w:tcW w:w="2271"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23"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2186"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val="false"/>
          </w:tcPr>
          <w:p>
            <w:pPr>
              <w:pStyle w:val="1197"/>
              <w:jc w:val="center"/>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r>
      <w:tr>
        <w:trPr>
          <w:trHeight w:val="486"/>
        </w:trPr>
        <w:tc>
          <w:tcPr>
            <w:gridSpan w:val="4"/>
            <w:tcBorders>
              <w:top w:val="single" w:color="000000" w:sz="4" w:space="0"/>
              <w:left w:val="single" w:color="000000" w:sz="4" w:space="0"/>
              <w:bottom w:val="single" w:color="000000" w:sz="4" w:space="0"/>
              <w:right w:val="single" w:color="000000" w:sz="4" w:space="0"/>
            </w:tcBorders>
            <w:tcW w:w="8045" w:type="dxa"/>
            <w:vAlign w:val="center"/>
            <w:textDirection w:val="lrTb"/>
            <w:noWrap w:val="false"/>
          </w:tcPr>
          <w:p>
            <w:pPr>
              <w:pStyle w:val="1197"/>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备注：1、以上劳动力核定已包含休息休假人员。</w:t>
            </w:r>
            <w:r>
              <w:rPr>
                <w:rFonts w:hint="eastAsia" w:ascii="宋体" w:hAnsi="宋体" w:eastAsia="宋体" w:cs="宋体"/>
                <w:color w:val="000000"/>
                <w:sz w:val="21"/>
                <w:szCs w:val="21"/>
                <w:highlight w:val="none"/>
              </w:rPr>
            </w:r>
            <w:r/>
          </w:p>
        </w:tc>
      </w:tr>
    </w:tbl>
    <w:p>
      <w:pPr>
        <w:pStyle w:val="1298"/>
        <w:contextualSpacing/>
        <w:ind w:firstLine="422"/>
        <w:jc w:val="left"/>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四）服务质量标准及要求</w:t>
      </w:r>
      <w:r>
        <w:rPr>
          <w:rFonts w:hint="eastAsia" w:ascii="宋体" w:hAnsi="宋体" w:eastAsia="宋体" w:cs="宋体"/>
          <w:b/>
          <w:color w:val="000000"/>
          <w:sz w:val="21"/>
          <w:szCs w:val="21"/>
          <w:highlight w:val="none"/>
        </w:rPr>
      </w:r>
      <w:r/>
    </w:p>
    <w:p>
      <w:pPr>
        <w:pStyle w:val="1298"/>
        <w:contextualSpacing/>
        <w:jc w:val="left"/>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1.具体见《环卫作业考核明细表》。</w:t>
      </w:r>
      <w:r>
        <w:rPr>
          <w:rFonts w:hint="eastAsia" w:ascii="宋体" w:hAnsi="宋体" w:eastAsia="宋体" w:cs="宋体"/>
          <w:bCs/>
          <w:color w:val="000000"/>
          <w:sz w:val="21"/>
          <w:szCs w:val="21"/>
          <w:highlight w:val="none"/>
        </w:rPr>
      </w:r>
      <w:r/>
    </w:p>
    <w:p>
      <w:pPr>
        <w:pStyle w:val="1298"/>
        <w:numPr>
          <w:ilvl w:val="0"/>
          <w:numId w:val="0"/>
        </w:numPr>
        <w:contextualSpacing/>
        <w:ind w:left="500" w:hanging="500"/>
        <w:keepLines w:val="0"/>
        <w:keepNext w:val="0"/>
        <w:pageBreakBefore w:val="0"/>
        <w:spacing w:line="400" w:lineRule="exact"/>
        <w:rPr>
          <w:rFonts w:hint="eastAsia" w:ascii="宋体" w:hAnsi="宋体" w:eastAsia="宋体" w:cs="宋体"/>
          <w:b/>
          <w:sz w:val="21"/>
          <w:szCs w:val="21"/>
          <w:highlight w:val="none"/>
          <w:lang w:val="en-US" w:eastAsia="zh-CN" w:bidi="ar-SA"/>
        </w:rPr>
      </w:pPr>
      <w:r>
        <w:rPr>
          <w:rFonts w:hint="eastAsia" w:ascii="宋体" w:hAnsi="宋体" w:eastAsia="宋体" w:cs="Times New Roman"/>
          <w:b/>
          <w:bCs/>
          <w:color w:val="000000"/>
          <w:szCs w:val="22"/>
          <w:highlight w:val="none"/>
          <w:lang w:val="en-US" w:eastAsia="zh-CN"/>
        </w:rPr>
        <w:t xml:space="preserve">★</w:t>
      </w:r>
      <w:r>
        <w:rPr>
          <w:rFonts w:hint="eastAsia" w:ascii="宋体" w:hAnsi="宋体" w:eastAsia="宋体" w:cs="宋体"/>
          <w:b/>
          <w:sz w:val="21"/>
          <w:szCs w:val="21"/>
          <w:highlight w:val="none"/>
          <w:lang w:val="en-US" w:eastAsia="zh-CN" w:bidi="ar-SA"/>
        </w:rPr>
        <w:t xml:space="preserve">五、报价方式</w:t>
      </w:r>
      <w:r>
        <w:rPr>
          <w:rFonts w:hint="eastAsia" w:ascii="宋体" w:hAnsi="宋体" w:eastAsia="宋体" w:cs="宋体"/>
          <w:b/>
          <w:sz w:val="21"/>
          <w:szCs w:val="21"/>
          <w:highlight w:val="none"/>
          <w:lang w:val="en-US" w:eastAsia="zh-CN" w:bidi="ar-SA"/>
        </w:rPr>
      </w:r>
      <w:r/>
    </w:p>
    <w:p>
      <w:pPr>
        <w:pStyle w:val="1197"/>
        <w:ind w:firstLine="422"/>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1.本项目报价为</w:t>
      </w:r>
      <w:r>
        <w:rPr>
          <w:rFonts w:hint="eastAsia" w:ascii="宋体" w:hAnsi="宋体" w:eastAsia="宋体" w:cs="宋体"/>
          <w:b/>
          <w:bCs/>
          <w:sz w:val="21"/>
          <w:szCs w:val="21"/>
          <w:highlight w:val="none"/>
          <w:u w:val="single"/>
        </w:rPr>
        <w:t xml:space="preserve">固定总价</w:t>
      </w:r>
      <w:r>
        <w:rPr>
          <w:rFonts w:hint="eastAsia" w:ascii="宋体" w:hAnsi="宋体" w:eastAsia="宋体" w:cs="宋体"/>
          <w:b/>
          <w:bCs/>
          <w:sz w:val="21"/>
          <w:szCs w:val="21"/>
          <w:highlight w:val="none"/>
        </w:rPr>
        <w:t xml:space="preserve">，应包括磋商文件所确定的采购范围相应服务的提供、人员（员工工资、社会保险费、公积金、高温费、加班费（包括全年法定假日、双休日及职工带薪年假加班费，不包括使用人特别要求所产生的加班费）、福利费、体检费、培训费、制服费等）、其他人员费用支出、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sz w:val="21"/>
          <w:szCs w:val="21"/>
          <w:highlight w:val="none"/>
        </w:rPr>
        <w:t xml:space="preserve">此外，除非合同条款中另有规定，否则，供应商所报价格在项目投标、合同实</w:t>
      </w:r>
      <w:r>
        <w:rPr>
          <w:rFonts w:hint="eastAsia" w:ascii="宋体" w:hAnsi="宋体" w:eastAsia="宋体" w:cs="宋体"/>
          <w:color w:val="000000"/>
          <w:sz w:val="21"/>
          <w:szCs w:val="21"/>
          <w:highlight w:val="none"/>
        </w:rPr>
        <w:t xml:space="preserve">施期间不因市场变化等任何因素而变动。</w:t>
      </w:r>
      <w:r>
        <w:rPr>
          <w:rFonts w:hint="eastAsia" w:ascii="宋体" w:hAnsi="宋体" w:eastAsia="宋体" w:cs="宋体"/>
          <w:color w:val="000000"/>
          <w:sz w:val="21"/>
          <w:szCs w:val="21"/>
          <w:highlight w:val="none"/>
        </w:rPr>
      </w:r>
      <w:r/>
    </w:p>
    <w:p>
      <w:pPr>
        <w:pStyle w:val="1197"/>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报价货币为人民币，评标时以人民币为准。</w:t>
      </w:r>
      <w:r>
        <w:rPr>
          <w:rFonts w:hint="eastAsia" w:ascii="宋体" w:hAnsi="宋体" w:eastAsia="宋体" w:cs="宋体"/>
          <w:color w:val="000000"/>
          <w:sz w:val="21"/>
          <w:szCs w:val="21"/>
          <w:highlight w:val="none"/>
        </w:rPr>
      </w:r>
      <w:r/>
    </w:p>
    <w:p>
      <w:pPr>
        <w:pStyle w:val="1197"/>
        <w:ind w:firstLine="422"/>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2.有关测算依据：</w:t>
      </w:r>
      <w:r>
        <w:rPr>
          <w:rFonts w:hint="eastAsia" w:ascii="宋体" w:hAnsi="宋体" w:eastAsia="宋体" w:cs="宋体"/>
          <w:b/>
          <w:bCs/>
          <w:color w:val="000000"/>
          <w:sz w:val="21"/>
          <w:szCs w:val="21"/>
          <w:highlight w:val="none"/>
        </w:rPr>
      </w:r>
      <w:r/>
    </w:p>
    <w:p>
      <w:pPr>
        <w:pStyle w:val="1197"/>
        <w:ind w:firstLine="422"/>
        <w:jc w:val="left"/>
        <w:keepLines w:val="0"/>
        <w:keepNext w:val="0"/>
        <w:pageBreakBefore w:val="0"/>
        <w:spacing w:line="40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（1）人员工资及最低测算费用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1197"/>
        <w:ind w:right="-99" w:firstLine="420"/>
        <w:spacing w:line="400" w:lineRule="exact"/>
        <w:widowControl/>
        <w:rPr>
          <w:rFonts w:hint="eastAsia" w:ascii="宋体" w:hAnsi="宋体" w:eastAsia="宋体" w:cs="宋体"/>
          <w:color w:val="000000"/>
          <w:szCs w:val="21"/>
          <w:highlight w:val="none"/>
        </w:rPr>
      </w:pPr>
      <w:r/>
      <w:bookmarkStart w:id="672" w:name="_Hlk168319726"/>
      <w:r>
        <w:rPr>
          <w:rFonts w:hint="eastAsia" w:ascii="宋体" w:hAnsi="宋体" w:eastAsia="宋体" w:cs="宋体"/>
          <w:color w:val="000000"/>
          <w:szCs w:val="21"/>
          <w:highlight w:val="none"/>
        </w:rPr>
        <w:t xml:space="preserve">工资标准不低于常州市最低工资标准</w:t>
      </w:r>
      <w:r>
        <w:rPr>
          <w:rFonts w:hint="eastAsia" w:ascii="宋体" w:hAnsi="宋体" w:eastAsia="宋体" w:cs="宋体"/>
          <w:color w:val="000000"/>
          <w:szCs w:val="21"/>
          <w:highlight w:val="none"/>
          <w:lang w:val="en-US" w:eastAsia="zh-CN"/>
        </w:rPr>
        <w:t xml:space="preserve">2490元/月/人</w:t>
      </w:r>
      <w:r>
        <w:rPr>
          <w:rFonts w:hint="eastAsia" w:ascii="宋体" w:hAnsi="宋体" w:eastAsia="宋体" w:cs="宋体"/>
          <w:color w:val="000000"/>
          <w:szCs w:val="21"/>
          <w:highlight w:val="none"/>
        </w:rPr>
        <w:t xml:space="preserve">；社保月缴费基数不得低于常州市最低标准</w:t>
      </w:r>
      <w:r>
        <w:rPr>
          <w:rFonts w:hint="eastAsia" w:ascii="宋体" w:hAnsi="宋体" w:eastAsia="宋体" w:cs="宋体"/>
          <w:color w:val="000000"/>
          <w:szCs w:val="21"/>
          <w:highlight w:val="none"/>
          <w:lang w:val="en-US" w:eastAsia="zh-CN"/>
        </w:rPr>
        <w:t xml:space="preserve">4952元/月/人</w:t>
      </w:r>
      <w:r>
        <w:rPr>
          <w:rFonts w:hint="eastAsia" w:ascii="宋体" w:hAnsi="宋体" w:eastAsia="宋体" w:cs="宋体"/>
          <w:color w:val="000000"/>
          <w:szCs w:val="21"/>
          <w:highlight w:val="none"/>
        </w:rPr>
        <w:t xml:space="preserve">，缴费比例不低于2</w:t>
      </w:r>
      <w:r>
        <w:rPr>
          <w:rFonts w:hint="eastAsia" w:ascii="宋体" w:hAnsi="宋体" w:eastAsia="宋体" w:cs="宋体"/>
          <w:color w:val="000000"/>
          <w:szCs w:val="21"/>
          <w:highlight w:val="none"/>
          <w:lang w:val="en-US" w:eastAsia="zh-CN"/>
        </w:rPr>
        <w:t xml:space="preserve">5.7</w:t>
      </w:r>
      <w:r>
        <w:rPr>
          <w:rFonts w:hint="eastAsia" w:ascii="宋体" w:hAnsi="宋体" w:eastAsia="宋体" w:cs="宋体"/>
          <w:color w:val="000000"/>
          <w:szCs w:val="21"/>
          <w:highlight w:val="none"/>
        </w:rPr>
        <w:t xml:space="preserve">%；高温费按不低于1200元/人•年计算。</w:t>
      </w:r>
      <w:r>
        <w:rPr>
          <w:rFonts w:hint="eastAsia" w:ascii="宋体" w:hAnsi="宋体" w:eastAsia="宋体" w:cs="宋体"/>
          <w:color w:val="000000"/>
          <w:szCs w:val="21"/>
          <w:highlight w:val="none"/>
        </w:rPr>
      </w:r>
      <w:r/>
    </w:p>
    <w:p>
      <w:pPr>
        <w:pStyle w:val="1197"/>
        <w:ind w:firstLine="422"/>
        <w:keepLines w:val="0"/>
        <w:keepNext w:val="0"/>
        <w:pageBreakBefore w:val="0"/>
        <w:spacing w:line="380" w:lineRule="exact"/>
        <w:tabs>
          <w:tab w:val="left" w:pos="284" w:leader="none"/>
        </w:tabs>
        <w:rPr>
          <w:rFonts w:hint="eastAsia" w:ascii="宋体" w:hAnsi="宋体" w:eastAsia="宋体" w:cs="宋体"/>
          <w:b/>
          <w:color w:val="000000"/>
          <w:sz w:val="21"/>
          <w:szCs w:val="21"/>
          <w:highlight w:val="none"/>
        </w:rPr>
      </w:pPr>
      <w:r>
        <w:rPr>
          <w:rFonts w:hint="eastAsia" w:ascii="宋体" w:hAnsi="宋体" w:eastAsia="宋体" w:cs="宋体"/>
          <w:b/>
          <w:bCs/>
          <w:color w:val="000000"/>
          <w:szCs w:val="21"/>
          <w:highlight w:val="none"/>
        </w:rPr>
        <w:t xml:space="preserve">（2）低于上述任何一项测算标准报价的，按无效响应文件处理。投标报价不得以其他任何形式进行贴补，否则按无效响应文件处理。</w:t>
      </w:r>
      <w:r>
        <w:rPr>
          <w:rFonts w:hint="eastAsia" w:ascii="宋体" w:hAnsi="宋体" w:eastAsia="宋体" w:cs="宋体"/>
          <w:b/>
          <w:color w:val="000000"/>
          <w:sz w:val="21"/>
          <w:szCs w:val="21"/>
          <w:highlight w:val="none"/>
        </w:rPr>
      </w:r>
      <w:r/>
    </w:p>
    <w:p>
      <w:pPr>
        <w:pStyle w:val="1197"/>
        <w:ind w:firstLine="420"/>
        <w:keepLines w:val="0"/>
        <w:keepNext w:val="0"/>
        <w:pageBreakBefore w:val="0"/>
        <w:spacing w:line="400" w:lineRule="exact"/>
        <w:tabs>
          <w:tab w:val="left" w:pos="284" w:leader="none"/>
        </w:tabs>
        <w:rPr>
          <w:rFonts w:hint="eastAsia" w:ascii="宋体" w:hAnsi="宋体" w:eastAsia="宋体" w:cs="宋体"/>
          <w:color w:val="000000"/>
          <w:sz w:val="21"/>
          <w:szCs w:val="21"/>
          <w:highlight w:val="none"/>
        </w:rPr>
      </w:pPr>
      <w:r/>
      <w:bookmarkEnd w:id="672"/>
      <w:r>
        <w:rPr>
          <w:rFonts w:hint="eastAsia" w:ascii="宋体" w:hAnsi="宋体" w:eastAsia="宋体" w:cs="宋体"/>
          <w:color w:val="000000"/>
          <w:sz w:val="21"/>
          <w:szCs w:val="21"/>
          <w:highlight w:val="none"/>
        </w:rPr>
        <w:t xml:space="preserve">3.保洁耗材费用包含在总费用中，由成交供应商自行承担。</w:t>
      </w:r>
      <w:r>
        <w:rPr>
          <w:rFonts w:hint="eastAsia" w:ascii="宋体" w:hAnsi="宋体" w:eastAsia="宋体" w:cs="宋体"/>
          <w:color w:val="000000"/>
          <w:sz w:val="21"/>
          <w:szCs w:val="21"/>
          <w:highlight w:val="none"/>
        </w:rPr>
      </w:r>
      <w:r/>
    </w:p>
    <w:p>
      <w:pPr>
        <w:pStyle w:val="1197"/>
        <w:ind w:firstLine="420"/>
        <w:keepLines w:val="0"/>
        <w:keepNext w:val="0"/>
        <w:pageBreakBefore w:val="0"/>
        <w:spacing w:line="400" w:lineRule="exact"/>
        <w:tabs>
          <w:tab w:val="left" w:pos="284" w:leader="none"/>
        </w:tabs>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4.费用调整（如：材料、机具设备、规费、税金等费用的调整或出现新的费用），除采购人要求外，投标总价不作调整。</w:t>
      </w:r>
      <w:r>
        <w:rPr>
          <w:rFonts w:hint="eastAsia" w:ascii="宋体" w:hAnsi="宋体" w:eastAsia="宋体" w:cs="宋体"/>
          <w:b/>
          <w:bCs/>
          <w:color w:val="000000"/>
          <w:sz w:val="21"/>
          <w:szCs w:val="21"/>
          <w:highlight w:val="none"/>
        </w:rPr>
        <w:t xml:space="preserve">因政策所涉及到的最低工资标准、高温费标准的调整则根据政府相关政策从上调之月起（含当月）对中标（成交）价在原基础上按如下计算。</w:t>
      </w:r>
      <w:r>
        <w:rPr>
          <w:rFonts w:hint="eastAsia" w:ascii="宋体" w:hAnsi="宋体" w:eastAsia="宋体" w:cs="宋体"/>
          <w:b/>
          <w:bCs/>
          <w:color w:val="000000"/>
          <w:sz w:val="21"/>
          <w:szCs w:val="21"/>
          <w:highlight w:val="none"/>
        </w:rPr>
      </w:r>
      <w:r/>
    </w:p>
    <w:p>
      <w:pPr>
        <w:pStyle w:val="1197"/>
        <w:ind w:firstLine="420"/>
        <w:keepLines w:val="0"/>
        <w:keepNext w:val="0"/>
        <w:pageBreakBefore w:val="0"/>
        <w:spacing w:line="400" w:lineRule="exact"/>
        <w:tabs>
          <w:tab w:val="left" w:pos="28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调增金额=最低作业人数*（新最低工资标准-原最低工资标准）</w:t>
      </w:r>
      <w:r>
        <w:rPr>
          <w:rFonts w:hint="eastAsia" w:ascii="宋体" w:hAnsi="宋体" w:eastAsia="宋体" w:cs="宋体"/>
          <w:color w:val="000000"/>
          <w:sz w:val="21"/>
          <w:szCs w:val="21"/>
          <w:highlight w:val="none"/>
        </w:rPr>
      </w:r>
      <w:r/>
    </w:p>
    <w:p>
      <w:pPr>
        <w:pStyle w:val="1298"/>
        <w:numPr>
          <w:ilvl w:val="0"/>
          <w:numId w:val="0"/>
        </w:numPr>
        <w:contextualSpacing/>
        <w:ind w:left="500" w:hanging="500"/>
        <w:keepLines w:val="0"/>
        <w:keepNext w:val="0"/>
        <w:pageBreakBefore w:val="0"/>
        <w:spacing w:line="400" w:lineRule="exact"/>
        <w:rPr>
          <w:rFonts w:hint="eastAsia" w:ascii="宋体" w:hAnsi="宋体" w:eastAsia="宋体" w:cs="宋体"/>
          <w:b/>
          <w:color w:val="000000"/>
          <w:sz w:val="21"/>
          <w:szCs w:val="21"/>
          <w:highlight w:val="none"/>
          <w:lang w:val="zh-CN" w:eastAsia="zh-CN" w:bidi="ar-SA"/>
        </w:rPr>
      </w:pPr>
      <w:r>
        <w:rPr>
          <w:rFonts w:hint="eastAsia" w:ascii="宋体" w:hAnsi="宋体" w:eastAsia="宋体" w:cs="Times New Roman"/>
          <w:b/>
          <w:bCs/>
          <w:color w:val="000000"/>
          <w:szCs w:val="22"/>
          <w:highlight w:val="none"/>
          <w:lang w:val="en-US" w:eastAsia="zh-CN"/>
        </w:rPr>
        <w:t xml:space="preserve">★</w:t>
      </w:r>
      <w:r>
        <w:rPr>
          <w:rFonts w:hint="eastAsia" w:ascii="宋体" w:hAnsi="宋体" w:eastAsia="宋体" w:cs="宋体"/>
          <w:b/>
          <w:color w:val="000000"/>
          <w:sz w:val="21"/>
          <w:szCs w:val="21"/>
          <w:highlight w:val="none"/>
          <w:lang w:val="en-US" w:eastAsia="zh-CN" w:bidi="ar-SA"/>
        </w:rPr>
        <w:t xml:space="preserve">六、</w:t>
      </w:r>
      <w:r>
        <w:rPr>
          <w:rFonts w:hint="eastAsia" w:ascii="宋体" w:hAnsi="宋体" w:eastAsia="宋体" w:cs="宋体"/>
          <w:b/>
          <w:color w:val="000000"/>
          <w:sz w:val="21"/>
          <w:szCs w:val="21"/>
          <w:highlight w:val="none"/>
          <w:lang w:val="zh-CN" w:eastAsia="zh-CN" w:bidi="ar-SA"/>
        </w:rPr>
        <w:t xml:space="preserve">环卫作业考核</w:t>
      </w:r>
      <w:r>
        <w:rPr>
          <w:rFonts w:hint="eastAsia" w:ascii="宋体" w:hAnsi="宋体" w:eastAsia="宋体" w:cs="宋体"/>
          <w:b/>
          <w:color w:val="000000"/>
          <w:sz w:val="21"/>
          <w:szCs w:val="21"/>
          <w:highlight w:val="none"/>
          <w:lang w:val="zh-CN" w:eastAsia="zh-CN" w:bidi="ar-SA"/>
        </w:rPr>
      </w:r>
      <w:r/>
    </w:p>
    <w:p>
      <w:pPr>
        <w:pStyle w:val="1197"/>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保洁所在地街道每月对成交供应商按照《常州市城市环卫作业质量考核办法》进行考核，每季度计算三个月的平均得分作为当季度考核得分，得分≥95分，全额结算当季度合同额；得分＜95分，每扣1分，合同额扣减1%，计算方式为当季度合同结算额=当季度合同额*100%-（95-考核得分）%</w:t>
      </w:r>
      <w:r>
        <w:rPr>
          <w:rFonts w:hint="eastAsia" w:ascii="宋体" w:hAnsi="宋体" w:eastAsia="宋体" w:cs="宋体"/>
          <w:color w:val="000000"/>
          <w:sz w:val="21"/>
          <w:szCs w:val="21"/>
          <w:highlight w:val="none"/>
        </w:rPr>
      </w:r>
      <w:r/>
    </w:p>
    <w:p>
      <w:pPr>
        <w:pStyle w:val="1197"/>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注：有多个考核街道的，以每个街道考核的平</w:t>
      </w:r>
      <w:r>
        <w:rPr>
          <w:rFonts w:hint="eastAsia" w:ascii="宋体" w:hAnsi="宋体" w:eastAsia="宋体" w:cs="宋体"/>
          <w:sz w:val="21"/>
          <w:szCs w:val="21"/>
        </w:rPr>
        <w:t xml:space="preserve">均分计算。</w:t>
      </w:r>
      <w:r>
        <w:rPr>
          <w:rFonts w:hint="eastAsia" w:ascii="宋体" w:hAnsi="宋体" w:eastAsia="宋体" w:cs="宋体"/>
          <w:sz w:val="21"/>
          <w:szCs w:val="21"/>
        </w:rPr>
      </w:r>
      <w:r/>
    </w:p>
    <w:p>
      <w:pPr>
        <w:pStyle w:val="1197"/>
        <w:ind w:firstLine="422"/>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b/>
          <w:bCs/>
          <w:sz w:val="21"/>
          <w:szCs w:val="21"/>
        </w:rPr>
        <w:t xml:space="preserve">如区级、市级考评中，作业标段发生扣分，当季度在街道考核</w:t>
      </w:r>
      <w:r>
        <w:rPr>
          <w:rFonts w:hint="eastAsia" w:ascii="宋体" w:hAnsi="宋体" w:eastAsia="宋体" w:cs="宋体"/>
          <w:sz w:val="21"/>
          <w:szCs w:val="21"/>
        </w:rPr>
        <w:t xml:space="preserve">基础上直接再双倍扣除区级、市级考核扣分。</w:t>
      </w:r>
      <w:r>
        <w:rPr>
          <w:rFonts w:hint="eastAsia" w:ascii="宋体" w:hAnsi="宋体" w:eastAsia="宋体" w:cs="宋体"/>
          <w:sz w:val="21"/>
          <w:szCs w:val="21"/>
        </w:rPr>
      </w:r>
      <w:r/>
    </w:p>
    <w:p>
      <w:pPr>
        <w:pStyle w:val="1298"/>
        <w:numPr>
          <w:ilvl w:val="0"/>
          <w:numId w:val="0"/>
        </w:numPr>
        <w:contextualSpacing/>
        <w:ind w:left="500" w:hanging="500"/>
        <w:keepLines w:val="0"/>
        <w:keepNext w:val="0"/>
        <w:pageBreakBefore w:val="0"/>
        <w:spacing w:line="400" w:lineRule="exact"/>
        <w:rPr>
          <w:rFonts w:hint="eastAsia" w:ascii="宋体" w:hAnsi="宋体" w:eastAsia="宋体" w:cs="Times New Roman"/>
          <w:b/>
          <w:bCs/>
          <w:color w:val="000000"/>
          <w:szCs w:val="22"/>
          <w:highlight w:val="none"/>
          <w:lang w:val="en-US" w:eastAsia="zh-CN"/>
        </w:rPr>
      </w:pPr>
      <w:r>
        <w:rPr>
          <w:rFonts w:hint="eastAsia" w:ascii="宋体" w:hAnsi="宋体" w:eastAsia="宋体" w:cs="Times New Roman"/>
          <w:b/>
          <w:bCs/>
          <w:color w:val="000000"/>
          <w:szCs w:val="22"/>
          <w:highlight w:val="none"/>
          <w:lang w:val="en-US" w:eastAsia="zh-CN"/>
        </w:rPr>
        <w:t xml:space="preserve">★七、其他内容</w:t>
      </w:r>
      <w:r>
        <w:rPr>
          <w:rFonts w:hint="eastAsia" w:ascii="宋体" w:hAnsi="宋体" w:eastAsia="宋体" w:cs="Times New Roman"/>
          <w:b/>
          <w:bCs/>
          <w:color w:val="000000"/>
          <w:szCs w:val="22"/>
          <w:highlight w:val="none"/>
          <w:lang w:val="en-US" w:eastAsia="zh-CN"/>
        </w:rPr>
      </w:r>
      <w:r/>
    </w:p>
    <w:p>
      <w:pPr>
        <w:pStyle w:val="1197"/>
        <w:ind w:firstLine="420"/>
        <w:keepLines w:val="0"/>
        <w:keepNext w:val="0"/>
        <w:pageBreakBefore w:val="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如出现成交供应商自身管理或沟通不力使员工通过各类渠道或以其他方式对采购人的声誉造成不利影响，以及因成交供应商服务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r>
        <w:rPr>
          <w:rFonts w:hint="eastAsia" w:ascii="宋体" w:hAnsi="宋体" w:eastAsia="宋体" w:cs="宋体"/>
          <w:sz w:val="21"/>
          <w:szCs w:val="21"/>
          <w:lang w:val="en-US" w:eastAsia="zh-CN"/>
        </w:rPr>
      </w:r>
      <w:r/>
    </w:p>
    <w:p>
      <w:pPr>
        <w:pStyle w:val="1197"/>
        <w:ind w:firstLine="420"/>
        <w:keepLines w:val="0"/>
        <w:keepNext w:val="0"/>
        <w:pageBreakBefore w:val="0"/>
        <w:spacing w:line="400" w:lineRule="exact"/>
        <w:rPr>
          <w:rFonts w:hint="eastAsia" w:ascii="宋体" w:hAnsi="宋体" w:eastAsia="宋体" w:cs="宋体"/>
          <w:sz w:val="21"/>
          <w:szCs w:val="21"/>
          <w:lang w:val="en-US" w:eastAsia="zh-CN"/>
        </w:rPr>
        <w:sectPr>
          <w:headerReference w:type="default" r:id="rId11"/>
          <w:footerReference w:type="defaul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sz w:val="21"/>
          <w:szCs w:val="21"/>
          <w:lang w:val="en-US" w:eastAsia="zh-CN"/>
        </w:rPr>
        <w:t xml:space="preserve">2.成交供应商擅自将服务合同转包或分包给第三人的，以及成交供应商违反法律法规、规章或其他相关规范性文件的规定，影响合同履行的，采购人可以单方面解除合同而无须向成交供应商支付任何费用或承担其他任何责任，由此产生的经济损失和法律责任均由成交供应商承担。</w:t>
      </w:r>
      <w:r>
        <w:rPr>
          <w:rFonts w:hint="eastAsia" w:ascii="宋体" w:hAnsi="宋体" w:eastAsia="宋体" w:cs="宋体"/>
          <w:sz w:val="21"/>
          <w:szCs w:val="21"/>
          <w:lang w:val="en-US" w:eastAsia="zh-CN"/>
        </w:rPr>
      </w:r>
      <w:r/>
    </w:p>
    <w:p>
      <w:pPr>
        <w:pStyle w:val="1197"/>
        <w:rPr>
          <w:rFonts w:hint="eastAsia" w:ascii="宋体" w:hAnsi="宋体" w:eastAsia="宋体" w:cs="宋体"/>
          <w:bCs/>
          <w:sz w:val="21"/>
          <w:szCs w:val="21"/>
        </w:rPr>
      </w:pPr>
      <w:r>
        <w:rPr>
          <w:rFonts w:hint="eastAsia" w:ascii="宋体" w:hAnsi="宋体" w:eastAsia="宋体" w:cs="宋体"/>
          <w:bCs/>
          <w:sz w:val="21"/>
          <w:szCs w:val="21"/>
        </w:rPr>
        <w:t xml:space="preserve">附件一：  </w:t>
      </w:r>
      <w:r>
        <w:rPr>
          <w:rFonts w:hint="eastAsia" w:ascii="宋体" w:hAnsi="宋体" w:eastAsia="宋体" w:cs="宋体"/>
          <w:bCs/>
          <w:sz w:val="21"/>
          <w:szCs w:val="21"/>
        </w:rPr>
      </w:r>
      <w:r/>
    </w:p>
    <w:p>
      <w:pPr>
        <w:pStyle w:val="1197"/>
        <w:jc w:val="center"/>
        <w:keepLines w:val="0"/>
        <w:keepNext w:val="0"/>
        <w:pageBreakBefore w:val="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常州市城市环卫作业服务要求</w:t>
      </w:r>
      <w:r>
        <w:rPr>
          <w:rFonts w:hint="eastAsia" w:ascii="宋体" w:hAnsi="宋体" w:eastAsia="宋体" w:cs="宋体"/>
          <w:b/>
          <w:bCs/>
          <w:sz w:val="21"/>
          <w:szCs w:val="21"/>
        </w:rPr>
      </w:r>
      <w:r/>
    </w:p>
    <w:p>
      <w:pPr>
        <w:pStyle w:val="1197"/>
        <w:jc w:val="center"/>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（2018版）</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1.1总体要求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投标人应具有较为完善的日常清扫保洁、垃圾清运、内部管理、应急处置、自检自查等规章制度。如遇突发事件，采购人有权调用成交供应商的人员和车辆参与应急。</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1.2人工作业基本要求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1.2.1本次采购人工作业包括道路保洁、公厕保洁、果壳箱清运清洗和区域内生活垃圾清运。作业范围详见各标段《作业服务量清单及说明》及相关附件。</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1.2.2时间要求： </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道路人工保洁日工作小时数”说明：18小时是指每天的5:00-23:00，16小时是指每天的5:00-21:00，14小时是指每天的5:00-19:00，12小时是指每天的5:00-17:00，8小时是指每天的6:00-10:00和13:00-17:00。作业时间段内均必须安排人员进行不间断作业。作业时不得离岗倾倒垃圾。</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②公厕开放及保洁作业时间说明：专人管理公厕开放时间不得低于以下标准：5月-10月5:00-22:00，11月-次年4月6:00-21:00，巡回保洁公厕开放时间为24小时。公共厕所保洁维护管理作业时间、方式按下表执行：</w:t>
      </w:r>
      <w:r>
        <w:rPr>
          <w:rFonts w:hint="eastAsia" w:ascii="宋体" w:hAnsi="宋体" w:eastAsia="宋体" w:cs="宋体"/>
          <w:sz w:val="21"/>
          <w:szCs w:val="21"/>
        </w:rPr>
      </w:r>
      <w:r/>
    </w:p>
    <w:tbl>
      <w:tblPr>
        <w:tblpPr w:horzAnchor="margin" w:tblpX="648" w:vertAnchor="text" w:tblpY="97"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085"/>
        <w:gridCol w:w="1433"/>
        <w:gridCol w:w="3200"/>
        <w:gridCol w:w="3497"/>
      </w:tblGrid>
      <w:tr>
        <w:trPr>
          <w:trHeight w:val="397"/>
        </w:trPr>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433" w:type="dxa"/>
            <w:vAlign w:val="center"/>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公厕分类</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具体作业时间</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497" w:type="dxa"/>
            <w:vAlign w:val="center"/>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作业方式</w:t>
            </w:r>
            <w:r>
              <w:rPr>
                <w:rFonts w:hint="eastAsia" w:ascii="宋体" w:hAnsi="宋体" w:eastAsia="宋体" w:cs="宋体"/>
                <w:bCs/>
                <w:sz w:val="21"/>
                <w:szCs w:val="21"/>
              </w:rPr>
            </w:r>
            <w:r/>
          </w:p>
        </w:tc>
      </w:tr>
      <w:tr>
        <w:trPr>
          <w:trHeight w:val="397"/>
        </w:trPr>
        <w:tc>
          <w:tcPr>
            <w:tcBorders>
              <w:top w:val="none" w:color="000000" w:sz="4" w:space="0"/>
              <w:left w:val="single" w:color="000000" w:sz="4" w:space="0"/>
              <w:bottom w:val="none" w:color="000000" w:sz="0" w:space="0"/>
              <w:right w:val="single" w:color="000000" w:sz="4" w:space="0"/>
            </w:tcBorders>
            <w:tcW w:w="1085" w:type="dxa"/>
            <w:vAlign w:val="center"/>
            <w:vMerge w:val="restart"/>
            <w:textDirection w:val="lrTb"/>
            <w:noWrap w:val="false"/>
          </w:tcPr>
          <w:p>
            <w:pPr>
              <w:pStyle w:val="1197"/>
              <w:jc w:val="center"/>
              <w:keepLines w:val="0"/>
              <w:keepNext w:val="0"/>
              <w:pageBreakBefore w:val="0"/>
              <w:spacing w:line="400" w:lineRule="exact"/>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A</w:t>
            </w:r>
            <w:r>
              <w:rPr>
                <w:rFonts w:hint="eastAsia" w:ascii="宋体" w:hAnsi="宋体" w:eastAsia="宋体" w:cs="宋体"/>
                <w:bCs/>
                <w:sz w:val="21"/>
                <w:szCs w:val="21"/>
              </w:rPr>
            </w:r>
            <w:r/>
          </w:p>
        </w:tc>
        <w:tc>
          <w:tcPr>
            <w:tcBorders>
              <w:top w:val="none" w:color="000000" w:sz="4" w:space="0"/>
              <w:left w:val="single" w:color="000000" w:sz="4" w:space="0"/>
              <w:bottom w:val="none" w:color="000000" w:sz="0" w:space="0"/>
              <w:right w:val="single" w:color="000000" w:sz="4" w:space="0"/>
            </w:tcBorders>
            <w:tcW w:w="1433" w:type="dxa"/>
            <w:vAlign w:val="center"/>
            <w:vMerge w:val="restart"/>
            <w:textDirection w:val="lrTb"/>
            <w:noWrap w:val="false"/>
          </w:tcPr>
          <w:p>
            <w:pPr>
              <w:pStyle w:val="1197"/>
              <w:jc w:val="center"/>
              <w:keepLines w:val="0"/>
              <w:keepNext w:val="0"/>
              <w:pageBreakBefore w:val="0"/>
              <w:spacing w:line="400" w:lineRule="exact"/>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专人管理</w:t>
            </w: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24小时</w:t>
            </w:r>
            <w:r>
              <w:rPr>
                <w:rFonts w:hint="eastAsia" w:ascii="宋体" w:hAnsi="宋体" w:eastAsia="宋体" w:cs="宋体"/>
                <w:bCs/>
                <w:sz w:val="21"/>
                <w:szCs w:val="21"/>
              </w:rPr>
            </w:r>
            <w:r/>
          </w:p>
        </w:tc>
        <w:tc>
          <w:tcPr>
            <w:tcBorders>
              <w:top w:val="none" w:color="000000" w:sz="4" w:space="0"/>
              <w:left w:val="none" w:color="000000" w:sz="4" w:space="0"/>
              <w:bottom w:val="none" w:color="000000" w:sz="0" w:space="0"/>
              <w:right w:val="single" w:color="000000" w:sz="4" w:space="0"/>
            </w:tcBorders>
            <w:tcW w:w="3497" w:type="dxa"/>
            <w:vAlign w:val="center"/>
            <w:vMerge w:val="restart"/>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r>
            <w:r/>
          </w:p>
          <w:p>
            <w:pPr>
              <w:pStyle w:val="1197"/>
              <w:jc w:val="center"/>
              <w:keepLines w:val="0"/>
              <w:keepNext w:val="0"/>
              <w:pageBreakBefore w:val="0"/>
              <w:spacing w:line="400" w:lineRule="exact"/>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一人一保洁</w:t>
            </w:r>
            <w:r>
              <w:rPr>
                <w:rFonts w:hint="eastAsia" w:ascii="宋体" w:hAnsi="宋体" w:eastAsia="宋体" w:cs="宋体"/>
                <w:bCs/>
                <w:sz w:val="21"/>
                <w:szCs w:val="21"/>
              </w:rPr>
            </w:r>
            <w:r/>
          </w:p>
        </w:tc>
      </w:tr>
      <w:tr>
        <w:trPr>
          <w:trHeight w:val="397"/>
        </w:trPr>
        <w:tc>
          <w:tcPr>
            <w:tcBorders>
              <w:top w:val="none" w:color="000000" w:sz="0" w:space="0"/>
              <w:left w:val="single" w:color="000000" w:sz="4" w:space="0"/>
              <w:bottom w:val="none" w:color="000000" w:sz="0" w:space="0"/>
              <w:right w:val="single" w:color="000000" w:sz="4" w:space="0"/>
            </w:tcBorders>
            <w:tcW w:w="1085" w:type="dxa"/>
            <w:vAlign w:val="center"/>
            <w:vMerge w:val="continue"/>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r>
            <w:r/>
          </w:p>
        </w:tc>
        <w:tc>
          <w:tcPr>
            <w:tcBorders>
              <w:top w:val="none" w:color="000000" w:sz="0" w:space="0"/>
              <w:left w:val="single" w:color="000000" w:sz="4" w:space="0"/>
              <w:bottom w:val="none" w:color="000000" w:sz="0" w:space="0"/>
              <w:right w:val="single" w:color="000000" w:sz="4" w:space="0"/>
            </w:tcBorders>
            <w:tcW w:w="1433" w:type="dxa"/>
            <w:vAlign w:val="center"/>
            <w:vMerge w:val="continue"/>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5月—10月：5:00—22:00</w:t>
            </w:r>
            <w:r>
              <w:rPr>
                <w:rFonts w:hint="eastAsia" w:ascii="宋体" w:hAnsi="宋体" w:eastAsia="宋体" w:cs="宋体"/>
                <w:bCs/>
                <w:sz w:val="21"/>
                <w:szCs w:val="21"/>
              </w:rPr>
            </w:r>
            <w:r/>
          </w:p>
        </w:tc>
        <w:tc>
          <w:tcPr>
            <w:tcBorders>
              <w:top w:val="none" w:color="000000" w:sz="0" w:space="0"/>
              <w:left w:val="none" w:color="000000" w:sz="4" w:space="0"/>
              <w:bottom w:val="none" w:color="000000" w:sz="0" w:space="0"/>
              <w:right w:val="single" w:color="000000" w:sz="4" w:space="0"/>
            </w:tcBorders>
            <w:tcW w:w="3497" w:type="dxa"/>
            <w:vAlign w:val="center"/>
            <w:vMerge w:val="continue"/>
            <w:textDirection w:val="lrTb"/>
            <w:noWrap w:val="false"/>
          </w:tcPr>
          <w:p>
            <w:pPr>
              <w:pStyle w:val="1197"/>
              <w:jc w:val="center"/>
              <w:keepLines w:val="0"/>
              <w:keepNext w:val="0"/>
              <w:pageBreakBefore w:val="0"/>
              <w:spacing w:line="400" w:lineRule="exact"/>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r>
            <w:r/>
          </w:p>
        </w:tc>
      </w:tr>
      <w:tr>
        <w:trPr>
          <w:trHeight w:val="397"/>
        </w:trPr>
        <w:tc>
          <w:tcPr>
            <w:tcBorders>
              <w:top w:val="none" w:color="000000" w:sz="0"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r>
            <w:r/>
          </w:p>
        </w:tc>
        <w:tc>
          <w:tcPr>
            <w:tcBorders>
              <w:top w:val="none" w:color="000000" w:sz="0" w:space="0"/>
              <w:left w:val="single" w:color="000000" w:sz="4" w:space="0"/>
              <w:bottom w:val="single" w:color="000000" w:sz="4" w:space="0"/>
              <w:right w:val="single" w:color="000000" w:sz="4" w:space="0"/>
            </w:tcBorders>
            <w:tcW w:w="1433" w:type="dxa"/>
            <w:vAlign w:val="center"/>
            <w:vMerge w:val="continue"/>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11月—次年4月：6:00—21:00</w:t>
            </w:r>
            <w:r>
              <w:rPr>
                <w:rFonts w:hint="eastAsia" w:ascii="宋体" w:hAnsi="宋体" w:eastAsia="宋体" w:cs="宋体"/>
                <w:bCs/>
                <w:sz w:val="21"/>
                <w:szCs w:val="21"/>
              </w:rPr>
            </w:r>
            <w:r/>
          </w:p>
        </w:tc>
        <w:tc>
          <w:tcPr>
            <w:tcBorders>
              <w:top w:val="none" w:color="000000" w:sz="0" w:space="0"/>
              <w:left w:val="none" w:color="000000" w:sz="4" w:space="0"/>
              <w:bottom w:val="single" w:color="000000" w:sz="4" w:space="0"/>
              <w:right w:val="single" w:color="000000" w:sz="4" w:space="0"/>
            </w:tcBorders>
            <w:tcW w:w="3497" w:type="dxa"/>
            <w:vAlign w:val="center"/>
            <w:vMerge w:val="continue"/>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r>
            <w:r/>
          </w:p>
        </w:tc>
      </w:tr>
      <w:tr>
        <w:trPr>
          <w:trHeight w:val="397"/>
        </w:trPr>
        <w:tc>
          <w:tcPr>
            <w:tcBorders>
              <w:top w:val="non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B</w:t>
            </w:r>
            <w:r>
              <w:rPr>
                <w:rFonts w:hint="eastAsia" w:ascii="宋体" w:hAnsi="宋体" w:eastAsia="宋体" w:cs="宋体"/>
                <w:bCs/>
                <w:sz w:val="21"/>
                <w:szCs w:val="21"/>
              </w:rPr>
            </w:r>
            <w:r/>
          </w:p>
        </w:tc>
        <w:tc>
          <w:tcPr>
            <w:tcBorders>
              <w:top w:val="none" w:color="000000" w:sz="4" w:space="0"/>
              <w:left w:val="single" w:color="000000" w:sz="4" w:space="0"/>
              <w:bottom w:val="single" w:color="000000" w:sz="4" w:space="0"/>
              <w:right w:val="single" w:color="000000" w:sz="4" w:space="0"/>
            </w:tcBorders>
            <w:tcW w:w="1433" w:type="dxa"/>
            <w:vAlign w:val="center"/>
            <w:vMerge w:val="restart"/>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巡回保洁</w:t>
            </w: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6：00—11：30</w:t>
            </w: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3497" w:type="dxa"/>
            <w:vAlign w:val="center"/>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巡回保洁，≥三次</w:t>
            </w:r>
            <w:r>
              <w:rPr>
                <w:rFonts w:hint="eastAsia" w:ascii="宋体" w:hAnsi="宋体" w:eastAsia="宋体" w:cs="宋体"/>
                <w:bCs/>
                <w:sz w:val="21"/>
                <w:szCs w:val="21"/>
              </w:rPr>
            </w:r>
            <w:r/>
          </w:p>
        </w:tc>
      </w:tr>
      <w:tr>
        <w:trPr>
          <w:trHeight w:val="397"/>
        </w:trPr>
        <w:tc>
          <w:tcPr>
            <w:tcBorders>
              <w:top w:val="non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r>
            <w:r/>
          </w:p>
        </w:tc>
        <w:tc>
          <w:tcPr>
            <w:tcBorders>
              <w:top w:val="none" w:color="000000" w:sz="4" w:space="0"/>
              <w:left w:val="single" w:color="000000" w:sz="4" w:space="0"/>
              <w:bottom w:val="single" w:color="000000" w:sz="4" w:space="0"/>
              <w:right w:val="single" w:color="000000" w:sz="4" w:space="0"/>
            </w:tcBorders>
            <w:tcW w:w="1433" w:type="dxa"/>
            <w:vAlign w:val="center"/>
            <w:vMerge w:val="continue"/>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13：00—20：30</w:t>
            </w: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3497" w:type="dxa"/>
            <w:vAlign w:val="center"/>
            <w:textDirection w:val="lrTb"/>
            <w:noWrap w:val="false"/>
          </w:tcPr>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巡回保洁，≥三</w:t>
            </w:r>
            <w:r>
              <w:rPr>
                <w:rFonts w:hint="eastAsia" w:ascii="宋体" w:hAnsi="宋体" w:eastAsia="宋体" w:cs="宋体"/>
                <w:bCs/>
                <w:sz w:val="21"/>
                <w:szCs w:val="21"/>
              </w:rPr>
            </w:r>
            <w:r/>
          </w:p>
          <w:p>
            <w:pPr>
              <w:pStyle w:val="1197"/>
              <w:jc w:val="center"/>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次</w:t>
            </w:r>
            <w:r>
              <w:rPr>
                <w:rFonts w:hint="eastAsia" w:ascii="宋体" w:hAnsi="宋体" w:eastAsia="宋体" w:cs="宋体"/>
                <w:bCs/>
                <w:sz w:val="21"/>
                <w:szCs w:val="21"/>
              </w:rPr>
            </w:r>
            <w:r/>
          </w:p>
        </w:tc>
      </w:tr>
      <w:tr>
        <w:trPr>
          <w:trHeight w:val="397"/>
        </w:trPr>
        <w:tc>
          <w:tcPr>
            <w:gridSpan w:val="4"/>
            <w:tcBorders>
              <w:top w:val="single" w:color="000000" w:sz="4" w:space="0"/>
              <w:left w:val="single" w:color="000000" w:sz="4" w:space="0"/>
              <w:bottom w:val="single" w:color="000000" w:sz="4" w:space="0"/>
              <w:right w:val="single" w:color="000000" w:sz="4" w:space="0"/>
            </w:tcBorders>
            <w:tcW w:w="9215" w:type="dxa"/>
            <w:vAlign w:val="center"/>
            <w:textDirection w:val="lrTb"/>
            <w:noWrap w:val="false"/>
          </w:tcPr>
          <w:p>
            <w:pPr>
              <w:pStyle w:val="1197"/>
              <w:jc w:val="left"/>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说明：1、巡回保洁作业安排由乙方书面向采购人报批；</w:t>
            </w:r>
            <w:r>
              <w:rPr>
                <w:rFonts w:hint="eastAsia" w:ascii="宋体" w:hAnsi="宋体" w:eastAsia="宋体" w:cs="宋体"/>
                <w:bCs/>
                <w:sz w:val="21"/>
                <w:szCs w:val="21"/>
              </w:rPr>
            </w:r>
            <w:r/>
          </w:p>
          <w:p>
            <w:pPr>
              <w:pStyle w:val="1197"/>
              <w:jc w:val="left"/>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      2、特殊情况下，由采购人指定作业方式；</w:t>
            </w:r>
            <w:r>
              <w:rPr>
                <w:rFonts w:hint="eastAsia" w:ascii="宋体" w:hAnsi="宋体" w:eastAsia="宋体" w:cs="宋体"/>
                <w:bCs/>
                <w:sz w:val="21"/>
                <w:szCs w:val="21"/>
              </w:rPr>
            </w:r>
            <w:r/>
          </w:p>
          <w:p>
            <w:pPr>
              <w:pStyle w:val="1197"/>
              <w:jc w:val="left"/>
              <w:keepLines w:val="0"/>
              <w:keepNext w:val="0"/>
              <w:pageBreakBefore w:val="0"/>
              <w:spacing w:line="400" w:lineRule="exact"/>
              <w:widowControl/>
              <w:rPr>
                <w:rFonts w:hint="eastAsia" w:ascii="宋体" w:hAnsi="宋体" w:eastAsia="宋体" w:cs="宋体"/>
                <w:bCs/>
                <w:sz w:val="21"/>
                <w:szCs w:val="21"/>
              </w:rPr>
              <w:framePr w:vAnchor="page" w:hAnchor="page" w:x="648" w:y="97"/>
            </w:pPr>
            <w:r>
              <w:rPr>
                <w:rFonts w:hint="eastAsia" w:ascii="宋体" w:hAnsi="宋体" w:eastAsia="宋体" w:cs="宋体"/>
                <w:bCs/>
                <w:sz w:val="21"/>
                <w:szCs w:val="21"/>
              </w:rPr>
              <w:t xml:space="preserve">      3、消杀时间为每年5月至10月。</w:t>
            </w:r>
            <w:r>
              <w:rPr>
                <w:rFonts w:hint="eastAsia" w:ascii="宋体" w:hAnsi="宋体" w:eastAsia="宋体" w:cs="宋体"/>
                <w:bCs/>
                <w:sz w:val="21"/>
                <w:szCs w:val="21"/>
              </w:rPr>
            </w:r>
            <w:r/>
          </w:p>
        </w:tc>
      </w:tr>
    </w:tbl>
    <w:p>
      <w:pPr>
        <w:pStyle w:val="1197"/>
        <w:ind w:firstLine="420"/>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1.2.3道路保洁容貌要求：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①车行道、人行道及绿化带内废弃物，如果皮、纸屑、塑膜、烟蒂、痰迹等不得大于零废弃物控制指标，且路面无污水。</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②全路段清扫无死角，垃圾无漏收；雨水窨井无阻塞；街巷交界处清扫保洁应各延伸3米。</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③降雪天气，应根据采购人指令及时组织铲雪除冰作业。道路融雪后，路面煤渣、灰沙及其它废弃物应及时清扫干净。</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④花岗岩花台每天清洗两次，并巡回保洁。</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1.2.4 果壳箱清运清洗要求：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①14小时以内（含）保洁道路的果壳箱每天两清运两清洗；14小时以上保洁道路的果壳箱每天三清运两清洗。</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②果壳箱垃圾清运完成时间（按每日早中晚三次）：7:00前、15:00前、21:00前；清洗完成时间：9:00前、15:00前，清洗结束应及时收集沿街垃圾。</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1.2.5垃圾清运（含）要求：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①垃圾收集清运时间为5:00-19:00。临街垃圾收集上午必须在7:00前完成。自有产权的垃圾房、分类收集亭、垃圾桶每天清洗一次。遇车辆故障等原因报由采购人临时调整。</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②垃圾清运点周围2米内必须打扫干净，无死角，无乱张贴。</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③垃圾清运车辆必须自觉遵守交通规则，做到安全生产。</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④垃圾清运车辆应保持容貌整洁，车辆编号、每日清洗，做到车辆性能完好、干净整洁。</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⑤确保承运的道路、公共设施、环卫设施等稳定呈现干净整洁的面貌。电瓶收集车应确保收集的生活垃圾送往指定的转运站或垃圾房/亭，不得拒绝沿线居民向垃圾收集车辆内倾倒生活垃圾；车辆应确保收集的生活垃圾送住指定终端。</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⑥每年5月1日至10月31日，应做好对垃圾收集点的蚊蝇等消杀工作。</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⑦所有车辆严禁从事生活垃圾有偿清运服务。</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⑧所有车辆严禁收运生活垃圾以外的任何废弃物。</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1.2.6公厕保洁要求：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公共厕所必须有专人管理，保持清洁卫生无异味，即地面干燥，无积水、无杂乱脚印，无纸屑、烟头、痰迹和杂物，大便器内无积粪，小便器（糟）内不积存尿液，无尿垢、杂物，墙壁、顶棚、隔板完整清洁，无蛛网蚊蝇，无积尘、无乱张贴。</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公厕保洁质量指标：</w:t>
      </w:r>
      <w:r>
        <w:rPr>
          <w:rFonts w:hint="eastAsia" w:ascii="宋体" w:hAnsi="宋体" w:eastAsia="宋体" w:cs="宋体"/>
          <w:bCs/>
          <w:sz w:val="21"/>
          <w:szCs w:val="21"/>
        </w:rPr>
      </w:r>
      <w:r/>
    </w:p>
    <w:tbl>
      <w:tblPr>
        <w:tblW w:w="0" w:type="auto"/>
        <w:tblInd w:w="5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4"/>
        <w:gridCol w:w="1808"/>
        <w:gridCol w:w="1843"/>
        <w:gridCol w:w="2310"/>
      </w:tblGrid>
      <w:tr>
        <w:trPr>
          <w:cantSplit/>
          <w:trHeight w:val="397"/>
        </w:trPr>
        <w:tc>
          <w:tcPr>
            <w:tcW w:w="2494" w:type="dxa"/>
            <w:vAlign w:val="center"/>
            <w:vMerge w:val="restart"/>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eastAsia="宋体" w:cs="宋体"/>
                <w:sz w:val="21"/>
                <w:szCs w:val="21"/>
              </w:rPr>
            </w:r>
            <w:r/>
          </w:p>
        </w:tc>
        <w:tc>
          <w:tcPr>
            <w:gridSpan w:val="2"/>
            <w:tcW w:w="3651"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水冲式公厕</w:t>
            </w:r>
            <w:r>
              <w:rPr>
                <w:rFonts w:hint="eastAsia" w:ascii="宋体" w:hAnsi="宋体" w:eastAsia="宋体" w:cs="宋体"/>
                <w:sz w:val="21"/>
                <w:szCs w:val="21"/>
              </w:rPr>
            </w:r>
            <w:r/>
          </w:p>
        </w:tc>
        <w:tc>
          <w:tcPr>
            <w:tcW w:w="2310" w:type="dxa"/>
            <w:vAlign w:val="center"/>
            <w:vMerge w:val="restart"/>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旱厕</w:t>
            </w:r>
            <w:r>
              <w:rPr>
                <w:rFonts w:hint="eastAsia" w:ascii="宋体" w:hAnsi="宋体" w:eastAsia="宋体" w:cs="宋体"/>
                <w:sz w:val="21"/>
                <w:szCs w:val="21"/>
              </w:rPr>
            </w:r>
            <w:r/>
          </w:p>
        </w:tc>
      </w:tr>
      <w:tr>
        <w:trPr>
          <w:cantSplit/>
          <w:trHeight w:val="347"/>
        </w:trPr>
        <w:tc>
          <w:tcPr>
            <w:tcW w:w="2494" w:type="dxa"/>
            <w:vAlign w:val="center"/>
            <w:vMerge w:val="continue"/>
            <w:textDirection w:val="lrTb"/>
            <w:noWrap w:val="false"/>
          </w:tcPr>
          <w:p>
            <w:pPr>
              <w:pStyle w:val="1197"/>
              <w:ind w:firstLine="420"/>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808"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专人管理</w:t>
            </w:r>
            <w:r>
              <w:rPr>
                <w:rFonts w:hint="eastAsia" w:ascii="宋体" w:hAnsi="宋体" w:eastAsia="宋体" w:cs="宋体"/>
                <w:sz w:val="21"/>
                <w:szCs w:val="21"/>
              </w:rPr>
            </w:r>
            <w:r/>
          </w:p>
        </w:tc>
        <w:tc>
          <w:tcPr>
            <w:tcW w:w="1843"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巡回保洁</w:t>
            </w:r>
            <w:r>
              <w:rPr>
                <w:rFonts w:hint="eastAsia" w:ascii="宋体" w:hAnsi="宋体" w:eastAsia="宋体" w:cs="宋体"/>
                <w:sz w:val="21"/>
                <w:szCs w:val="21"/>
              </w:rPr>
            </w:r>
            <w:r/>
          </w:p>
        </w:tc>
        <w:tc>
          <w:tcPr>
            <w:tcW w:w="2310" w:type="dxa"/>
            <w:vAlign w:val="center"/>
            <w:vMerge w:val="continue"/>
            <w:textDirection w:val="lrTb"/>
            <w:noWrap w:val="false"/>
          </w:tcPr>
          <w:p>
            <w:pPr>
              <w:pStyle w:val="1197"/>
              <w:ind w:firstLine="420"/>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397"/>
        </w:trPr>
        <w:tc>
          <w:tcPr>
            <w:tcW w:w="2494"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纸片（块）</w:t>
            </w:r>
            <w:r>
              <w:rPr>
                <w:rFonts w:hint="eastAsia" w:ascii="宋体" w:hAnsi="宋体" w:eastAsia="宋体" w:cs="宋体"/>
                <w:sz w:val="21"/>
                <w:szCs w:val="21"/>
              </w:rPr>
            </w:r>
            <w:r/>
          </w:p>
        </w:tc>
        <w:tc>
          <w:tcPr>
            <w:tcW w:w="1808"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1843"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310"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r>
      <w:tr>
        <w:trPr>
          <w:trHeight w:val="397"/>
        </w:trPr>
        <w:tc>
          <w:tcPr>
            <w:tcW w:w="2494"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烟蒂（个）</w:t>
            </w:r>
            <w:r>
              <w:rPr>
                <w:rFonts w:hint="eastAsia" w:ascii="宋体" w:hAnsi="宋体" w:eastAsia="宋体" w:cs="宋体"/>
                <w:sz w:val="21"/>
                <w:szCs w:val="21"/>
              </w:rPr>
            </w:r>
            <w:r/>
          </w:p>
        </w:tc>
        <w:tc>
          <w:tcPr>
            <w:tcW w:w="1808"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1843"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310"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r>
      <w:tr>
        <w:trPr>
          <w:trHeight w:val="397"/>
        </w:trPr>
        <w:tc>
          <w:tcPr>
            <w:tcW w:w="2494"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粪迹（处）</w:t>
            </w:r>
            <w:r>
              <w:rPr>
                <w:rFonts w:hint="eastAsia" w:ascii="宋体" w:hAnsi="宋体" w:eastAsia="宋体" w:cs="宋体"/>
                <w:sz w:val="21"/>
                <w:szCs w:val="21"/>
              </w:rPr>
            </w:r>
            <w:r/>
          </w:p>
        </w:tc>
        <w:tc>
          <w:tcPr>
            <w:tcW w:w="1808"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1843"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310"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r>
      <w:tr>
        <w:trPr>
          <w:trHeight w:val="397"/>
        </w:trPr>
        <w:tc>
          <w:tcPr>
            <w:tcW w:w="2494"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痰迹（处）</w:t>
            </w:r>
            <w:r>
              <w:rPr>
                <w:rFonts w:hint="eastAsia" w:ascii="宋体" w:hAnsi="宋体" w:eastAsia="宋体" w:cs="宋体"/>
                <w:sz w:val="21"/>
                <w:szCs w:val="21"/>
              </w:rPr>
            </w:r>
            <w:r/>
          </w:p>
        </w:tc>
        <w:tc>
          <w:tcPr>
            <w:tcW w:w="1808"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1843"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310"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r>
      <w:tr>
        <w:trPr>
          <w:trHeight w:val="397"/>
        </w:trPr>
        <w:tc>
          <w:tcPr>
            <w:tcW w:w="2494"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窗格积灰</w:t>
            </w:r>
            <w:r>
              <w:rPr>
                <w:rFonts w:hint="eastAsia" w:ascii="宋体" w:hAnsi="宋体" w:eastAsia="宋体" w:cs="宋体"/>
                <w:sz w:val="21"/>
                <w:szCs w:val="21"/>
              </w:rPr>
            </w:r>
            <w:r/>
          </w:p>
        </w:tc>
        <w:tc>
          <w:tcPr>
            <w:tcW w:w="1808"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1843"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310"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微</w:t>
            </w:r>
            <w:r>
              <w:rPr>
                <w:rFonts w:hint="eastAsia" w:ascii="宋体" w:hAnsi="宋体" w:eastAsia="宋体" w:cs="宋体"/>
                <w:sz w:val="21"/>
                <w:szCs w:val="21"/>
              </w:rPr>
            </w:r>
            <w:r/>
          </w:p>
        </w:tc>
      </w:tr>
      <w:tr>
        <w:trPr>
          <w:trHeight w:val="397"/>
        </w:trPr>
        <w:tc>
          <w:tcPr>
            <w:tcW w:w="2494"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蛛    网</w:t>
            </w:r>
            <w:r>
              <w:rPr>
                <w:rFonts w:hint="eastAsia" w:ascii="宋体" w:hAnsi="宋体" w:eastAsia="宋体" w:cs="宋体"/>
                <w:sz w:val="21"/>
                <w:szCs w:val="21"/>
              </w:rPr>
            </w:r>
            <w:r/>
          </w:p>
        </w:tc>
        <w:tc>
          <w:tcPr>
            <w:tcW w:w="1808"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1843"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310"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r>
      <w:tr>
        <w:trPr>
          <w:trHeight w:val="397"/>
        </w:trPr>
        <w:tc>
          <w:tcPr>
            <w:tcW w:w="2494"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成蝇（只）</w:t>
            </w:r>
            <w:r>
              <w:rPr>
                <w:rFonts w:hint="eastAsia" w:ascii="宋体" w:hAnsi="宋体" w:eastAsia="宋体" w:cs="宋体"/>
                <w:sz w:val="21"/>
                <w:szCs w:val="21"/>
              </w:rPr>
            </w:r>
            <w:r/>
          </w:p>
        </w:tc>
        <w:tc>
          <w:tcPr>
            <w:tcW w:w="1808"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1843"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310"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r>
      <w:tr>
        <w:trPr>
          <w:trHeight w:val="397"/>
        </w:trPr>
        <w:tc>
          <w:tcPr>
            <w:tcW w:w="2494"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蝇蛆（尾）*</w:t>
            </w:r>
            <w:r>
              <w:rPr>
                <w:rFonts w:hint="eastAsia" w:ascii="宋体" w:hAnsi="宋体" w:eastAsia="宋体" w:cs="宋体"/>
                <w:sz w:val="21"/>
                <w:szCs w:val="21"/>
              </w:rPr>
            </w:r>
            <w:r/>
          </w:p>
        </w:tc>
        <w:tc>
          <w:tcPr>
            <w:tcW w:w="1808"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1843"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310"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r>
      <w:tr>
        <w:trPr>
          <w:trHeight w:val="397"/>
        </w:trPr>
        <w:tc>
          <w:tcPr>
            <w:tcW w:w="2494"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臭味强度（级）</w:t>
            </w:r>
            <w:r>
              <w:rPr>
                <w:rFonts w:hint="eastAsia" w:ascii="宋体" w:hAnsi="宋体" w:eastAsia="宋体" w:cs="宋体"/>
                <w:sz w:val="21"/>
                <w:szCs w:val="21"/>
              </w:rPr>
            </w:r>
            <w:r/>
          </w:p>
        </w:tc>
        <w:tc>
          <w:tcPr>
            <w:tcW w:w="1808"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1843" w:type="dxa"/>
            <w:vAlign w:val="top"/>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310" w:type="dxa"/>
            <w:vAlign w:val="center"/>
            <w:textDirection w:val="lrTb"/>
            <w:noWrap w:val="false"/>
          </w:tcPr>
          <w:p>
            <w:pPr>
              <w:pStyle w:val="1197"/>
              <w:jc w:val="cente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r>
    </w:tbl>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*指在厕室的大小便器内外、地面和贮粪池周围30～50cm以内用肉眼观察不到蝇蛆。  </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②公厕每个蹲位都要安放便纸篓，收集的便纸按规定处理。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③按采购人要求投放专用樟脑球、檀香。</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④公厕外环境（巡回保洁公厕3米、专人管理公厕5米）保持干净，公厕周边及绿地内不得种植蔬菜等，不得随意乱吊乱挂，不得堆放废品及杂物等。</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⑤内部照明设施、冲水设备、洗手器具完好，无损坏或缺失，粪槽、便槽（斗）和管道无破损；内外墙面粉刷、墙地砖无破损或剥落；保持下水畅通，化粪池与出粪口盖板无破损；公厕标志牌完好醒目。</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⑥增加安装照明插座或空调等电器设备必须向采购人申报，同意后方可安装，禁止使用电炉和不规范的电器设备，不准私自乱拉、乱接电源，不准超负荷用电。</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⑦专人管理公厕的管理间应保持整洁，工具堆放有序。公厕免费开放，严禁利用公厕进行有偿服务。公厕用水用电按核定量使用。。</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⑧消杀期内，严格执行消杀作业要求。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⑨粪便清运要按作业服务量清单要求进行清运，并按指定点倾倒。无满溢现象，工作完成后，出粪口要打扫干净，盖板要盖好，严禁沿途滴漏。</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⑩窖脚定期清理，捞出杂物及时处理。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1.2.7人员基本要求：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①道路清扫保洁工及垃圾清运工在作业时应统一着具有反光标志的工作服、帽。上岗期间不得有闲聊、窜岗、散坐现象。</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②公厕保洁人员工作时应文明服务，礼貌待客，遵章守纪，上岗穿戴标识服，佩证上岗、配合检查考核人员正常检查。严禁作业时做与工作无关事务，无断岗、脱岗现象。</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1.3机械化作业基本要求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1.3.1作业时间安排：</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①城市道路环卫机械化作业应充分考虑道路交通状况，日间安排机械化洒水作业，夜间安排机械化清扫作业和冲洗作业，机械化清洗作业可根据实际情况和需要安排在日间或夜间进行。</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每日20:00开始组织冲洗作业，并依次组织清扫和清洗作业（也可安排日间作业），至次日上午8:00前全部撤离作业路段；洒水季节组织车辆在9:00—17:00作业。非核心区域路段的各项作业和一级道路每日的第2次机械化清扫作业，在确保回避交通高峰的情况下，作业时间可根据需要自行组织。</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③当气温≤5℃时，洒水作业应暂停，桥面、坡道的冲洗及清洗作业应暂停；当气温≤2℃时，必须停止全部冲洗及清洗作业，同时道路清扫全部采用干扫（不喷水）作业方式。</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1.3.2作业定额标准及作业频次：</w:t>
      </w:r>
      <w:r>
        <w:rPr>
          <w:rFonts w:hint="eastAsia" w:ascii="宋体" w:hAnsi="宋体" w:eastAsia="宋体" w:cs="宋体"/>
          <w:sz w:val="21"/>
          <w:szCs w:val="21"/>
        </w:rPr>
      </w:r>
      <w:r/>
    </w:p>
    <w:tbl>
      <w:tblPr>
        <w:tblpPr w:horzAnchor="margin" w:tblpXSpec="center" w:vertAnchor="text" w:tblpY="11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8"/>
        <w:gridCol w:w="1681"/>
        <w:gridCol w:w="1842"/>
        <w:gridCol w:w="1843"/>
        <w:gridCol w:w="1774"/>
      </w:tblGrid>
      <w:tr>
        <w:trPr>
          <w:trHeight w:val="260"/>
        </w:trPr>
        <w:tc>
          <w:tcPr>
            <w:tcW w:w="1688" w:type="dxa"/>
            <w:vAlign w:val="center"/>
            <w:vMerge w:val="restart"/>
            <w:textDirection w:val="lrTb"/>
            <w:noWrap w:val="false"/>
          </w:tcPr>
          <w:p>
            <w:pPr>
              <w:pStyle w:val="1197"/>
              <w:ind w:firstLine="247"/>
              <w:jc w:val="left"/>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   作业类型 道路等级</w:t>
            </w:r>
            <w:r>
              <w:rPr>
                <w:rFonts w:hint="eastAsia" w:ascii="宋体" w:hAnsi="宋体" w:eastAsia="宋体" w:cs="宋体"/>
                <w:sz w:val="21"/>
                <w:szCs w:val="21"/>
              </w:rPr>
            </w:r>
            <w:r/>
          </w:p>
        </w:tc>
        <w:tc>
          <w:tcPr>
            <w:tcW w:w="1681"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清扫（次/日）</w:t>
            </w:r>
            <w:r>
              <w:rPr>
                <w:rFonts w:hint="eastAsia" w:ascii="宋体" w:hAnsi="宋体" w:eastAsia="宋体" w:cs="宋体"/>
                <w:sz w:val="21"/>
                <w:szCs w:val="21"/>
              </w:rPr>
            </w:r>
            <w:r/>
          </w:p>
        </w:tc>
        <w:tc>
          <w:tcPr>
            <w:tcW w:w="1842"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冲洗（次/日）</w:t>
            </w:r>
            <w:r>
              <w:rPr>
                <w:rFonts w:hint="eastAsia" w:ascii="宋体" w:hAnsi="宋体" w:eastAsia="宋体" w:cs="宋体"/>
                <w:sz w:val="21"/>
                <w:szCs w:val="21"/>
              </w:rPr>
            </w:r>
            <w:r/>
          </w:p>
        </w:tc>
        <w:tc>
          <w:tcPr>
            <w:tcW w:w="1843"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洒水（次/日）</w:t>
            </w:r>
            <w:r>
              <w:rPr>
                <w:rFonts w:hint="eastAsia" w:ascii="宋体" w:hAnsi="宋体" w:eastAsia="宋体" w:cs="宋体"/>
                <w:sz w:val="21"/>
                <w:szCs w:val="21"/>
              </w:rPr>
            </w:r>
            <w:r/>
          </w:p>
        </w:tc>
        <w:tc>
          <w:tcPr>
            <w:tcW w:w="1774"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清洗</w:t>
            </w:r>
            <w:r>
              <w:rPr>
                <w:rFonts w:hint="eastAsia" w:ascii="宋体" w:hAnsi="宋体" w:eastAsia="宋体" w:cs="宋体"/>
                <w:sz w:val="21"/>
                <w:szCs w:val="21"/>
              </w:rPr>
            </w:r>
            <w:r/>
          </w:p>
        </w:tc>
      </w:tr>
      <w:tr>
        <w:trPr>
          <w:trHeight w:val="313"/>
        </w:trPr>
        <w:tc>
          <w:tcPr>
            <w:tcW w:w="1688" w:type="dxa"/>
            <w:vAlign w:val="center"/>
            <w:vMerge w:val="continue"/>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r>
            <w:r/>
          </w:p>
        </w:tc>
        <w:tc>
          <w:tcPr>
            <w:tcW w:w="1681" w:type="dxa"/>
            <w:vAlign w:val="center"/>
            <w:textDirection w:val="lrTb"/>
            <w:noWrap w:val="false"/>
          </w:tcPr>
          <w:p>
            <w:pPr>
              <w:pStyle w:val="1197"/>
              <w:ind w:left="-107" w:right="-57"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频次</w:t>
            </w:r>
            <w:r>
              <w:rPr>
                <w:rFonts w:hint="eastAsia" w:ascii="宋体" w:hAnsi="宋体" w:eastAsia="宋体" w:cs="宋体"/>
                <w:sz w:val="21"/>
                <w:szCs w:val="21"/>
              </w:rPr>
            </w:r>
            <w:r/>
          </w:p>
        </w:tc>
        <w:tc>
          <w:tcPr>
            <w:tcW w:w="1842" w:type="dxa"/>
            <w:vAlign w:val="center"/>
            <w:textDirection w:val="lrTb"/>
            <w:noWrap w:val="false"/>
          </w:tcPr>
          <w:p>
            <w:pPr>
              <w:pStyle w:val="1197"/>
              <w:ind w:left="-107" w:right="-57"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频次</w:t>
            </w:r>
            <w:r>
              <w:rPr>
                <w:rFonts w:hint="eastAsia" w:ascii="宋体" w:hAnsi="宋体" w:eastAsia="宋体" w:cs="宋体"/>
                <w:sz w:val="21"/>
                <w:szCs w:val="21"/>
              </w:rPr>
            </w:r>
            <w:r/>
          </w:p>
        </w:tc>
        <w:tc>
          <w:tcPr>
            <w:tcW w:w="1843" w:type="dxa"/>
            <w:vAlign w:val="center"/>
            <w:textDirection w:val="lrTb"/>
            <w:noWrap w:val="false"/>
          </w:tcPr>
          <w:p>
            <w:pPr>
              <w:pStyle w:val="1197"/>
              <w:ind w:left="-107" w:right="-57"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频次</w:t>
            </w:r>
            <w:r>
              <w:rPr>
                <w:rFonts w:hint="eastAsia" w:ascii="宋体" w:hAnsi="宋体" w:eastAsia="宋体" w:cs="宋体"/>
                <w:sz w:val="21"/>
                <w:szCs w:val="21"/>
              </w:rPr>
            </w:r>
            <w:r/>
          </w:p>
        </w:tc>
        <w:tc>
          <w:tcPr>
            <w:tcW w:w="1774"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频次</w:t>
            </w:r>
            <w:r>
              <w:rPr>
                <w:rFonts w:hint="eastAsia" w:ascii="宋体" w:hAnsi="宋体" w:eastAsia="宋体" w:cs="宋体"/>
                <w:sz w:val="21"/>
                <w:szCs w:val="21"/>
              </w:rPr>
            </w:r>
            <w:r/>
          </w:p>
        </w:tc>
      </w:tr>
      <w:tr>
        <w:trPr>
          <w:trHeight w:val="313"/>
        </w:trPr>
        <w:tc>
          <w:tcPr>
            <w:tcW w:w="1688"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定额</w:t>
            </w:r>
            <w:r>
              <w:rPr>
                <w:rFonts w:hint="eastAsia" w:ascii="宋体" w:hAnsi="宋体" w:eastAsia="宋体" w:cs="宋体"/>
                <w:sz w:val="21"/>
                <w:szCs w:val="21"/>
              </w:rPr>
            </w:r>
            <w:r/>
          </w:p>
        </w:tc>
        <w:tc>
          <w:tcPr>
            <w:tcW w:w="1681"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60千米/工日</w:t>
            </w:r>
            <w:r>
              <w:rPr>
                <w:rFonts w:hint="eastAsia" w:ascii="宋体" w:hAnsi="宋体" w:eastAsia="宋体" w:cs="宋体"/>
                <w:sz w:val="21"/>
                <w:szCs w:val="21"/>
              </w:rPr>
            </w:r>
            <w:r/>
          </w:p>
        </w:tc>
        <w:tc>
          <w:tcPr>
            <w:tcW w:w="1842"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35千米/工日</w:t>
            </w:r>
            <w:r>
              <w:rPr>
                <w:rFonts w:hint="eastAsia" w:ascii="宋体" w:hAnsi="宋体" w:eastAsia="宋体" w:cs="宋体"/>
                <w:sz w:val="21"/>
                <w:szCs w:val="21"/>
              </w:rPr>
            </w:r>
            <w:r/>
          </w:p>
        </w:tc>
        <w:tc>
          <w:tcPr>
            <w:tcW w:w="1843"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90千米/工日</w:t>
            </w:r>
            <w:r>
              <w:rPr>
                <w:rFonts w:hint="eastAsia" w:ascii="宋体" w:hAnsi="宋体" w:eastAsia="宋体" w:cs="宋体"/>
                <w:sz w:val="21"/>
                <w:szCs w:val="21"/>
              </w:rPr>
            </w:r>
            <w:r/>
          </w:p>
        </w:tc>
        <w:tc>
          <w:tcPr>
            <w:tcW w:w="1774"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25千米/工日</w:t>
            </w:r>
            <w:r>
              <w:rPr>
                <w:rFonts w:hint="eastAsia" w:ascii="宋体" w:hAnsi="宋体" w:eastAsia="宋体" w:cs="宋体"/>
                <w:sz w:val="21"/>
                <w:szCs w:val="21"/>
              </w:rPr>
            </w:r>
            <w:r/>
          </w:p>
        </w:tc>
      </w:tr>
      <w:tr>
        <w:trPr>
          <w:trHeight w:val="313"/>
        </w:trPr>
        <w:tc>
          <w:tcPr>
            <w:tcW w:w="1688"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一级</w:t>
            </w:r>
            <w:r>
              <w:rPr>
                <w:rFonts w:hint="eastAsia" w:ascii="宋体" w:hAnsi="宋体" w:eastAsia="宋体" w:cs="宋体"/>
                <w:sz w:val="21"/>
                <w:szCs w:val="21"/>
              </w:rPr>
            </w:r>
            <w:r/>
          </w:p>
          <w:p>
            <w:pPr>
              <w:pStyle w:val="1197"/>
              <w:ind w:left="-107" w:right="-63"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（含全面积）</w:t>
            </w:r>
            <w:r>
              <w:rPr>
                <w:rFonts w:hint="eastAsia" w:ascii="宋体" w:hAnsi="宋体" w:eastAsia="宋体" w:cs="宋体"/>
                <w:sz w:val="21"/>
                <w:szCs w:val="21"/>
              </w:rPr>
            </w:r>
            <w:r/>
          </w:p>
        </w:tc>
        <w:tc>
          <w:tcPr>
            <w:tcW w:w="1681"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842"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843"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774"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1次/日</w:t>
            </w:r>
            <w:r>
              <w:rPr>
                <w:rFonts w:hint="eastAsia" w:ascii="宋体" w:hAnsi="宋体" w:eastAsia="宋体" w:cs="宋体"/>
                <w:sz w:val="21"/>
                <w:szCs w:val="21"/>
              </w:rPr>
            </w:r>
            <w:r/>
          </w:p>
        </w:tc>
      </w:tr>
      <w:tr>
        <w:trPr>
          <w:trHeight w:val="313"/>
        </w:trPr>
        <w:tc>
          <w:tcPr>
            <w:tcW w:w="1688"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二级</w:t>
            </w:r>
            <w:r>
              <w:rPr>
                <w:rFonts w:hint="eastAsia" w:ascii="宋体" w:hAnsi="宋体" w:eastAsia="宋体" w:cs="宋体"/>
                <w:sz w:val="21"/>
                <w:szCs w:val="21"/>
              </w:rPr>
            </w:r>
            <w:r/>
          </w:p>
        </w:tc>
        <w:tc>
          <w:tcPr>
            <w:tcW w:w="1681"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842"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843"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774"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2次/周</w:t>
            </w:r>
            <w:r>
              <w:rPr>
                <w:rFonts w:hint="eastAsia" w:ascii="宋体" w:hAnsi="宋体" w:eastAsia="宋体" w:cs="宋体"/>
                <w:sz w:val="21"/>
                <w:szCs w:val="21"/>
              </w:rPr>
            </w:r>
            <w:r/>
          </w:p>
        </w:tc>
      </w:tr>
      <w:tr>
        <w:trPr>
          <w:trHeight w:val="313"/>
        </w:trPr>
        <w:tc>
          <w:tcPr>
            <w:tcW w:w="1688"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三级</w:t>
            </w:r>
            <w:r>
              <w:rPr>
                <w:rFonts w:hint="eastAsia" w:ascii="宋体" w:hAnsi="宋体" w:eastAsia="宋体" w:cs="宋体"/>
                <w:sz w:val="21"/>
                <w:szCs w:val="21"/>
              </w:rPr>
            </w:r>
            <w:r/>
          </w:p>
        </w:tc>
        <w:tc>
          <w:tcPr>
            <w:tcW w:w="1681"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842"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843"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774" w:type="dxa"/>
            <w:vAlign w:val="center"/>
            <w:textDirection w:val="lrTb"/>
            <w:noWrap w:val="false"/>
          </w:tcPr>
          <w:p>
            <w:pPr>
              <w:pStyle w:val="1197"/>
              <w:ind w:firstLine="247"/>
              <w:jc w:val="center"/>
              <w:keepLines w:val="0"/>
              <w:keepNext w:val="0"/>
              <w:pageBreakBefore w:val="0"/>
              <w:spacing w:line="400" w:lineRule="exact"/>
              <w:rPr>
                <w:rFonts w:hint="eastAsia" w:ascii="宋体" w:hAnsi="宋体" w:eastAsia="宋体" w:cs="宋体"/>
                <w:sz w:val="21"/>
                <w:szCs w:val="21"/>
              </w:rPr>
              <w:framePr w:vAnchor="page" w:hAnchor="page" w:xAlign="center" w:y="110"/>
            </w:pPr>
            <w:r>
              <w:rPr>
                <w:rFonts w:hint="eastAsia" w:ascii="宋体" w:hAnsi="宋体" w:eastAsia="宋体" w:cs="宋体"/>
                <w:sz w:val="21"/>
                <w:szCs w:val="21"/>
              </w:rPr>
              <w:t xml:space="preserve">1次/2周</w:t>
            </w:r>
            <w:r>
              <w:rPr>
                <w:rFonts w:hint="eastAsia" w:ascii="宋体" w:hAnsi="宋体" w:eastAsia="宋体" w:cs="宋体"/>
                <w:sz w:val="21"/>
                <w:szCs w:val="21"/>
              </w:rPr>
            </w:r>
            <w:r/>
          </w:p>
        </w:tc>
      </w:tr>
    </w:tbl>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1.3.3作业行驶要求：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清扫作业时选用一挡，行驶速度不超过10公里/小时，副机转速不超过2000转/分，应严格按照放刷、喷水、调整箱体压力和刷盘转速、清扫的顺序进行操作；非特殊气候情况下，避免“干扫”；作业时禁止扫刷、吸嘴不落地；</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②冲洗作业时控制车速为5-10公里/小时，冲洗压力≥300千帕，洒水量0.2～2.0升/平方米，喷水口喷水有力，不得出现断续喷水的现象；</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③洒水作业时控制车速不超过25公里/小时，喷水口喷水有力，不得出现断续喷水的现象，洒水作业应覆盖道路的所有机动车道，不得漏洒，作业后路面无干燥路段和片区；</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④清洗作业车速不超过8公里/小时，副发动机转速控制在1800转/分（正常档），路面较脏时，副发动机转速控制在2200转/分（强洗档），并应开双侧吸嘴喷杆喷水。</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⑤作业时须开启警示灯和示宽灯，夜间禁鸣，日间适当鸣号。</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⑥作业人员必须按照规定的时间、线路、频次和作业模式作业；作业时应穿戴统一的、具有明显警示标识的工作服，并保持着装整洁。不得有滞留马路和加油加水超时等情况。</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1.3.4机械化作业车辆容貌要求：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①车体整洁明亮、各种配件齐全、使用功能齐备，各项作业装置保持完好、有效。车身如有宣传标贴，须保持清洁完整。</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②应保持标志清晰、齐全，车体无破损、无锈蚀、无污物、无灰垢。车尾应有反光标志（或加贴反光膜）。车体杜绝吊挂、抛洒污物，滴漏水、油液体等现象。</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1.3.5调度和管理要求：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科学合理调配作业车辆分布比例及运行。每班作业应按规定填写出车日志，作业车辆应在规定地点取水、清洁污物箱，机械化作业收集的垃圾倒入指定转运站。车辆作业收集的废弃物按采购人指定的收集点归集，严禁随意倾倒。</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②建立健全车辆维修、保养和检查制度，必须确保出车车况良好。</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③如遇死角、深沟、道路两侧行道树过低过近、垃圾杂物体积过长过大、落叶季节、窨井腰眼不畅通、有杂物或被堵塞等工况无法满足环卫机械化作业条件时，需组织人工配合作业。</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1.4服务方式：承包制</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由采购人与成交供应商签订承包合同，根据磋商文件规定和成交供应商的投标承诺具体事项和考核办法，成交供应商若发生违约行为或考评不合格，采购人单位有权终止合同的履行。</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1.5服务质量标准及要求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具体见《常州市城市环卫作业质量考核办法（2018版）》。</w:t>
      </w:r>
      <w:r>
        <w:rPr>
          <w:rFonts w:hint="eastAsia" w:ascii="宋体" w:hAnsi="宋体" w:eastAsia="宋体" w:cs="宋体"/>
          <w:bCs/>
          <w:sz w:val="21"/>
          <w:szCs w:val="21"/>
        </w:rPr>
      </w:r>
      <w:r/>
    </w:p>
    <w:p>
      <w:pPr>
        <w:pStyle w:val="1197"/>
        <w:keepLines w:val="0"/>
        <w:keepNext w:val="0"/>
        <w:pageBreakBefore w:val="0"/>
        <w:spacing w:line="400" w:lineRule="exact"/>
        <w:rPr>
          <w:rFonts w:hint="eastAsia" w:ascii="宋体" w:hAnsi="宋体" w:eastAsia="宋体" w:cs="宋体"/>
          <w:bCs/>
          <w:sz w:val="21"/>
          <w:szCs w:val="21"/>
        </w:rPr>
        <w:sectPr>
          <w:headerReference w:type="default" r:id="rId12"/>
          <w:footerReference w:type="default" r:id="rId2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sz w:val="21"/>
          <w:szCs w:val="21"/>
        </w:rPr>
      </w:r>
      <w:r/>
    </w:p>
    <w:p>
      <w:pPr>
        <w:pStyle w:val="1197"/>
        <w:rPr>
          <w:rFonts w:hint="eastAsia" w:ascii="宋体" w:hAnsi="宋体" w:eastAsia="宋体" w:cs="宋体"/>
          <w:bCs/>
          <w:sz w:val="21"/>
          <w:szCs w:val="21"/>
          <w:lang w:eastAsia="zh-CN"/>
        </w:rPr>
      </w:pPr>
      <w:r>
        <w:rPr>
          <w:rFonts w:hint="eastAsia" w:ascii="宋体" w:hAnsi="宋体" w:eastAsia="宋体" w:cs="宋体"/>
          <w:bCs/>
          <w:sz w:val="21"/>
          <w:szCs w:val="21"/>
        </w:rPr>
        <w:t xml:space="preserve">附件二</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1197"/>
        <w:ind w:firstLine="249"/>
        <w:jc w:val="center"/>
        <w:keepLines w:val="0"/>
        <w:keepNext w:val="0"/>
        <w:pageBreakBefore w:val="0"/>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常州市城市环卫作业质量考核办法</w:t>
      </w:r>
      <w:r>
        <w:rPr>
          <w:rFonts w:hint="eastAsia" w:ascii="宋体" w:hAnsi="宋体" w:eastAsia="宋体" w:cs="宋体"/>
          <w:b/>
          <w:sz w:val="21"/>
          <w:szCs w:val="21"/>
        </w:rPr>
      </w:r>
      <w:r/>
    </w:p>
    <w:p>
      <w:pPr>
        <w:pStyle w:val="1197"/>
        <w:ind w:firstLine="247"/>
        <w:jc w:val="center"/>
        <w:keepLines w:val="0"/>
        <w:keepNext w:val="0"/>
        <w:pageBreakBefore w:val="0"/>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（2018版）</w:t>
      </w:r>
      <w:r>
        <w:rPr>
          <w:rFonts w:hint="eastAsia" w:ascii="宋体" w:hAnsi="宋体" w:eastAsia="宋体" w:cs="宋体"/>
          <w:b/>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1.1总体要求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1.1.1城市环卫作业质量考核办法实行百分制考核：环境卫生作业及容貌90分（其中智能信息系统考核30分，现场督查考核60分），组织作业10分（其中安全文明生产5分，规范用工5分）。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1.1.2同时，根据市城市长效综合管理考核结果、媒体曝光及群众投诉等情况在总分中直接扣减。</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1.1.3具体考核办法应结合标段作业服务要求实现。</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2.环境卫生作业及容貌90分</w:t>
      </w:r>
      <w:r>
        <w:rPr>
          <w:rFonts w:hint="eastAsia" w:ascii="宋体" w:hAnsi="宋体" w:eastAsia="宋体" w:cs="宋体"/>
          <w:bCs/>
          <w:sz w:val="21"/>
          <w:szCs w:val="21"/>
        </w:rPr>
        <w:tab/>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2.1智能信息系统考核30分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2.1.1环卫车辆机械化作业月度考核结果25分。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①机械化道路清扫、冲洗、洒水和清洗作业信息化考核得分由有效作业里程、覆盖路段和实际作业车辆数加权计算得出，三项考核内容的权重分分别为15分、5分、5分。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标段机械化作业的月度总得分＝〔（清扫作业有效里程/清扫作业额定里程）×40%+（冲洗作业有效里程/冲洗作业额定里程）×20%+（洒水作业有效里程/洒水作业额定里程）×20%+（清洗作业有效里程/清洗作业额定里程）×20%〕×15分+〔（清扫+冲洗+洒水）实际作业路段/（清扫+冲洗+洒水）额定作业路段〕×5分+〔（清扫+冲洗+洒水）实际作业车辆数/（清扫+冲洗+洒水）额定作业车辆数〕×5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2.1.2环卫车辆机械化作业日完成作业量考核结果5分。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标段机械化作业日完成率＝（清扫+冲洗+洒水）作业日有效里程/（清扫+冲洗+洒水）作业日额定里程；机械化作业日完成率≥90%为合格，未达90%的按每下降1%扣0.1分计算。</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2.2现场督查考核60分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2.2.1道路、公厕保洁及作业车辆容貌要求</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①道路干净整洁（包括车行道、人行道、桥梁两旁道路、绿地、绿化隔离带、花台、树穴根及道路交界处延伸3米，沿街垃圾包的收集等），在规定时间内完成作业任务且保洁率达到100%。</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②果壳箱一日二清洗二清运(14小时以上保洁的实行一日二清洗三清运)，整洁完好。</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③机械化作业按规定操作、作业车辆整洁、配套设施齐全、不乱倒垃圾、车辆不滞留路面。</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④垃圾收集清运做到一日二清，垃圾收集点周围干净整洁。</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⑤公共厕所内外环境干净整洁，在规定时间内完成作业任务且保洁率达到100%。公共厕所按照规定时间开放，设施设备完好。</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2.2.2考核细则</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①道路保洁：有下列情形之一的（每项或每处，第5项除外）扣1分。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⑴路面清扫不干净，有边脚泥或灰沙（每2平方米的及有较明显脏、差的为一处）。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⑵道路漏扫，垃圾漏收的（7:00点后临街垃圾包（摊））。</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⑶道路交界处未按规定扫通的。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⑷窨井泉眼未扫清或窨井泉眼未通的。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⑸乱倒清扫垃圾，焚烧垃圾的，扣2分。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⑹降雪天气未及时组织铲雪作业，融雪后未及时清扫干净的。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⑺道路隔离设施底部散乱垃圾多或明显尘土的，每2米为一处。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⑻路面有废弃物（包括每瓜皮果壳、纸屑/塑膜、烟蒂、痰迹、混凝土、渣土、沙、石、砖、粪便、呕吐物、动物尸体），每2平方米范围为一处。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⑼污水、雨水积水未及时清扫，每2平方米范围为一处。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⑽道路未按规定时间清扫完毕，每日7:00前未完成道路冲洗和清扫的。每10米为一处。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⑾机械化作业道路未按规定要求每班次清扫、保洁一遍的。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⑿机械化作业车辆未按规定速度行驶。</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⒀机械化车辆作业时扫路刷头高于路面的；运行途中有垃圾洒落的。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⒁绿地、绿化隔离带、行道树穴内发现漂浮物、烟头等废弃物，每1平方米为1处。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⒂道路、绿地、绿化隔离带、行道树旁发现建筑垃圾等垃圾类杂物堆放。</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⒃道路两侧的花台未清洗保洁，有乱涂写、乱张贴每2米为一处；坐凳等公共设施未清洗，花台、坐凳未列入作业任务的除外。</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②果壳箱保洁：有下列情形之一的（每只）扣1分。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⑴果壳箱箱体应该完好，如有损坏且未在2日内上报的。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⑵果壳箱有乱涂写、乱张贴的。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⑶果壳箱箱体每日清洗两次，非14小时以上保洁道路的果壳箱垃圾每日收集清运两次，7:00前完成清运、9:00前完成清洗，15:00前完成清洗清运。14小时以上保洁道路的果壳箱晚上收集清运必须在19:00-21:00完成。</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⑷道路保洁人员必须协助做好果壳箱的保洁，确保果壳箱不满溢。7:00第一次清运后果壳箱满溢（垃圾超出桶口）的。果壳箱未按规定时间清洗的。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③垃圾收集清运：有下列情形之一的（每项或每人每处扣1分）。第11条除外。</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⑴每日9:00后、15:00后的两小时内，垃圾清运点（房、箱、道、桶、摊）的垃圾存量超过三分之一的。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⑵垃圾清运点周围两米内未打扫干净的。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⑶垃圾车辆运输途中有滴、泼、撒、漏现象的。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⑷车辆外挂垃圾袋、车容车貌差的。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⑸车辆未正确编号的。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⑹本单位产权的垃圾房(箱)设施损坏未及时上报的。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⑺工业垃圾、医疗垃圾混入生活垃圾的。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⑻垃圾清运点拆除后未在一周内上报的。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⑼垃圾未按采购人指定的转运站运送的（事先征得采购人同意的除外）。</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⑽发现垃圾乱倒或接到举报经查证属实的；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⑾焚烧垃圾，每处扣5分。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⑿因转运站停电、设施设备维修等客观原因无法生产的，成交供应商必须无条件地按采购人的要求，有序地对垃圾进行分流。组织不力的。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⒀垃圾进转运站，必须服从采购人的转运站管理制度。</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⒁消杀没有达到标准的。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⒂私开压缩设备的。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③公厕保洁：有下列情形之一的（每项或每人每处扣1分）。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⑴公厕不按规定时间开放和打扫的。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公厕外部环境3～5米打扫不干净的。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⑶不按规定消杀的。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⑷有乱张贴、乱涂写的。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⑸不按规定安放便纸篓，便纸篓满溢的或收集的便纸不按规定处理的。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⑹不按采购人要求投放专用樟脑球、檀香的。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⑺厕所内积水超0.5平方米或有杂乱脚印的。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⑻在室外周边种植蔬菜或周边有杂草、随意晾晒衣物、堆放废品影响环境的。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⑼用硫酸洗便槽及其墙、地砖的。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⑽公厕内部管道堵塞，没有及时疏通的。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⑾设施设备缺失或破损未及时上报的。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⑿不按规定使用有关设施的。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⒀厕内光线较暗且未打开照明，人为原因造成水流过小的。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⒁利用公厕进行有偿服务的。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⒂不按规定进行消杀的。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⒃管理间物品摆放不整齐的。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⒄寄养犬类等宠物。</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⒅凡违反工作标准，考核方法中没有相应扣分标准的，根据情况酌情扣分。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3组织作业10分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3.1安全文明生产5分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3.1.1要求：道路清扫保洁（含机械化和人工）、果壳箱、垃圾收集清运、公厕保洁等作业要做到安全生产、文明操作。</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3.1.2考核标准：有下列情形之一的（每项或每人）扣1分。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3.1.2.1道路清扫保洁（含机械化和人工）、果壳箱、垃圾收集清运：</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①未穿戴作业单位统一规定的反光安全标志服、帽者。</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②穿拖鞋上班的。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③作业人员当班闲坐、聊天的，或者捡拾、售卖饮料瓶、硬纸板等废品的。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④作业人员当班围观突发事件或就地闲逛购物的。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⑤机械化车辆在岗作业时车辆停留休息的。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⑥车辆容貌未保持完好、密闭、整洁、安全的。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⑦不文明作业，故意扬尘的。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⑧电瓶收集车有超速、在划有快慢车道的快车道上行驶等违规现象。</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⑨作业工具、车辆未紧靠路边停放，或者停靠在公交车站、消防栓旁。收集车未在作业方向设置警示标志。</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⑩车辆未按采购人指定的收集点倾倒收集的泥浆等污物，造成下水管网堵塞的。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3.1.2.2公厕保洁：</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①不按规定穿戴作业单位统一规定的工作服、胸牌的。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②工作期间脱岗或找人代替保洁的。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③公厕保洁使用不规范的电器设备，私自乱拉、乱接电源的。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④公厕使用明火灶具的。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3.2规范用工5分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3.2.1要求：签订劳动用工合同，独立处理劳资纠纷，执行本地区人员最低工资标准，切实保障一线环卫作业人员320元/月的补贴（政府补贴，由采购人根据核定的实际人数另行发放，不包含在合同总价中），切实保障“五金”按时、足额缴纳。</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3.2.2考核标准：有下列情形之一的（每项或每人）扣1分。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①抽查人员工资发放记录，确有用工不满足本地区最低工资标准的。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②接到有关签订劳动合同投诉属实的。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③接到有关环卫职工慰问金不及时发放的投诉属实的。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④接到有关“五金”未按时足额缴纳的投诉属实的。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⑤出现5人以上劳资纠纷的。</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4市城市长效综合管理考核结果、媒体曝光及群众投诉等</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4.1要求：做好道路清扫保洁、果壳箱保洁、垃圾收集清运，服从上级工作安排，迎接市、区的工作检查。做好来信来访工作，为群众提供优良的服务。</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4.2考核标准：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①市城市长效综合管理考核扣分的，加倍扣分。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②媒体曝光属实的（以媒体最先曝光时间为扣分记录时间），每项扣1-3分。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③群众投诉及12319平台举报属实的，每项扣1-2分。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④建立道路清扫保洁（含机械化和人工）、果壳箱保洁、垃圾收集清运和压缩中转、公车管理的管理制度，包括行政管理制度、考勤制度、岗位责任制度、安全生产制度、考核制度、计划生育管理制度，每缺1项制度扣1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⑤建立基础管理台帐，包括《人员作业情况登记本》、《日常检查情况登记本》、《信访处理登记本》，每缺1本扣1分，登记不及时的每本每次扣1分。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⑥成交供应商未按时保质保量完成区环卫处交给的指令性任务，每次扣1-2分。</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5.考核实施办法：</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①各区环卫处根据本办法组织月度考核。采取样本抽查和现场随机检查的方式，每月至少3次, 以月为统计周期按百分制计分计算当月考核成绩。</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②各区环卫处取证资料必须做到时间与地点清楚、背景清晰，便于成交供应商查证核对认可。当日的取证资料只保存7个工作日，期内可供成交供应商查看或复制，过期视为默认。</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③成交供应商每被扣1分扣款1000元。根据每月环卫作业质量通报在下拨经费中扣除。</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④被解除合同后的标段由相邻标段成交供应商临时代管（由区环卫处组织签订临时代管合同），作业及考核要求与本合同一致。代管期限最长不得超过3个月，且代管期内遇合同到期则代管自动终止。</w:t>
      </w:r>
      <w:r>
        <w:rPr>
          <w:rFonts w:hint="eastAsia" w:ascii="宋体" w:hAnsi="宋体" w:eastAsia="宋体" w:cs="宋体"/>
          <w:bCs/>
          <w:sz w:val="21"/>
          <w:szCs w:val="21"/>
        </w:rPr>
      </w:r>
      <w:r/>
    </w:p>
    <w:p>
      <w:pPr>
        <w:pStyle w:val="1197"/>
        <w:ind w:firstLine="413"/>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6.考核办法各区环卫处可根据单位的实际情况作适当补充。</w:t>
      </w:r>
      <w:r>
        <w:rPr>
          <w:rFonts w:hint="eastAsia" w:ascii="宋体" w:hAnsi="宋体" w:eastAsia="宋体" w:cs="宋体"/>
          <w:bCs/>
          <w:sz w:val="21"/>
          <w:szCs w:val="21"/>
        </w:rPr>
      </w:r>
      <w:r/>
    </w:p>
    <w:p>
      <w:pPr>
        <w:pStyle w:val="1197"/>
        <w:ind w:firstLine="420"/>
        <w:keepLines w:val="0"/>
        <w:keepNext w:val="0"/>
        <w:pageBreakBefore w:val="0"/>
        <w:spacing w:line="400" w:lineRule="exact"/>
        <w:rPr>
          <w:rFonts w:ascii="宋体" w:hAnsi="宋体" w:eastAsia="宋体" w:cs="宋体"/>
          <w:szCs w:val="21"/>
        </w:rPr>
      </w:pPr>
      <w:r>
        <w:rPr>
          <w:rFonts w:hint="eastAsia" w:ascii="宋体" w:hAnsi="宋体" w:eastAsia="宋体" w:cs="宋体"/>
          <w:bCs/>
          <w:sz w:val="21"/>
          <w:szCs w:val="21"/>
        </w:rPr>
        <w:t xml:space="preserve">7.本办法的贯彻执行由市环卫处负责监督和检查。</w: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304800</wp:posOffset>
                </wp:positionH>
                <wp:positionV relativeFrom="paragraph">
                  <wp:posOffset>-1711959</wp:posOffset>
                </wp:positionV>
                <wp:extent cx="5274310" cy="1966595"/>
                <wp:effectExtent l="0" t="0" r="0" b="0"/>
                <wp:wrapSquare wrapText="bothSides"/>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274310" cy="1966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24.0pt;mso-position-horizontal:absolute;mso-position-vertical-relative:text;margin-top:-134.8pt;mso-position-vertical:absolute;width:415.3pt;height:154.8pt;mso-wrap-distance-left:9.0pt;mso-wrap-distance-top:0.0pt;mso-wrap-distance-right:9.0pt;mso-wrap-distance-bottom:0.0pt;" stroked="f">
                <v:path textboxrect="0,0,0,0"/>
                <w10:wrap type="square"/>
                <v:imagedata r:id="rId27" o:title=""/>
              </v:shape>
            </w:pict>
          </mc:Fallback>
        </mc:AlternateContent>
      </w:r>
      <w:r>
        <w:rPr>
          <w:rFonts w:ascii="宋体" w:hAnsi="宋体" w:eastAsia="宋体" w:cs="宋体"/>
          <w:szCs w:val="21"/>
        </w:rPr>
      </w:r>
      <w:r/>
    </w:p>
    <w:p>
      <w:pPr>
        <w:pStyle w:val="1200"/>
        <w:rPr>
          <w:rFonts w:hint="eastAsia"/>
        </w:rPr>
      </w:pPr>
      <w:r>
        <w:rPr>
          <w:rFonts w:hint="eastAsia"/>
        </w:rPr>
      </w:r>
      <w:r/>
    </w:p>
    <w:p>
      <w:pPr>
        <w:pStyle w:val="1197"/>
        <w:numPr>
          <w:ilvl w:val="0"/>
          <w:numId w:val="0"/>
        </w:numPr>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197"/>
        <w:numPr>
          <w:ilvl w:val="0"/>
          <w:numId w:val="0"/>
        </w:numPr>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197"/>
        <w:numPr>
          <w:ilvl w:val="0"/>
          <w:numId w:val="0"/>
        </w:numPr>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197"/>
        <w:numPr>
          <w:ilvl w:val="0"/>
          <w:numId w:val="0"/>
        </w:numPr>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197"/>
        <w:numPr>
          <w:ilvl w:val="0"/>
          <w:numId w:val="0"/>
        </w:numPr>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197"/>
        <w:numPr>
          <w:ilvl w:val="0"/>
          <w:numId w:val="0"/>
        </w:numPr>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197"/>
        <w:numPr>
          <w:ilvl w:val="0"/>
          <w:numId w:val="0"/>
        </w:numPr>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197"/>
        <w:numPr>
          <w:ilvl w:val="0"/>
          <w:numId w:val="0"/>
        </w:numPr>
        <w:jc w:val="center"/>
        <w:spacing w:line="360" w:lineRule="auto"/>
        <w:rPr>
          <w:b/>
          <w:sz w:val="36"/>
          <w:szCs w:val="36"/>
          <w:highlight w:val="none"/>
        </w:rPr>
        <w:outlineLvl w:val="0"/>
      </w:pPr>
      <w:r/>
      <w:bookmarkEnd w:id="670"/>
      <w:r/>
      <w:bookmarkEnd w:id="671"/>
      <w:r/>
      <w:bookmarkStart w:id="673" w:name="_Toc104818929"/>
      <w:r>
        <w:rPr>
          <w:rFonts w:hint="eastAsia" w:ascii="宋体" w:hAnsi="宋体" w:eastAsia="宋体" w:cs="宋体"/>
          <w:b/>
          <w:bCs/>
          <w:sz w:val="24"/>
          <w:szCs w:val="24"/>
          <w:highlight w:val="none"/>
        </w:rPr>
        <w:br w:type="page" w:clear="all"/>
      </w:r>
      <w:r>
        <w:rPr>
          <w:b/>
          <w:sz w:val="32"/>
          <w:szCs w:val="32"/>
          <w:highlight w:val="none"/>
        </w:rPr>
        <w:t xml:space="preserve">第五章   合同草案条款</w:t>
      </w:r>
      <w:bookmarkEnd w:id="673"/>
      <w:r>
        <w:rPr>
          <w:b/>
          <w:sz w:val="36"/>
          <w:szCs w:val="36"/>
          <w:highlight w:val="none"/>
        </w:rPr>
      </w:r>
      <w:r/>
    </w:p>
    <w:p>
      <w:pPr>
        <w:pStyle w:val="1197"/>
        <w:ind w:firstLine="422"/>
        <w:spacing w:line="360" w:lineRule="auto"/>
        <w:widowControl/>
        <w:rPr>
          <w:rFonts w:hint="eastAsia" w:ascii="宋体" w:hAnsi="宋体" w:cs="宋体"/>
          <w:b/>
          <w:bCs/>
          <w:szCs w:val="21"/>
          <w:highlight w:val="none"/>
        </w:rPr>
      </w:pPr>
      <w:r/>
      <w:bookmarkStart w:id="674" w:name="_Toc104818930"/>
      <w:r>
        <w:rPr>
          <w:rFonts w:hint="eastAsia" w:ascii="宋体" w:hAnsi="宋体" w:cs="宋体"/>
          <w:b/>
          <w:bCs/>
          <w:szCs w:val="21"/>
          <w:highlight w:val="none"/>
        </w:rPr>
        <w:t xml:space="preserve">采购人（以下称甲方）:                                   合同编号：</w:t>
      </w:r>
      <w:r>
        <w:rPr>
          <w:rFonts w:hint="eastAsia" w:ascii="宋体" w:hAnsi="宋体" w:cs="宋体"/>
          <w:b/>
          <w:bCs/>
          <w:szCs w:val="21"/>
          <w:highlight w:val="none"/>
        </w:rPr>
      </w:r>
      <w:r/>
    </w:p>
    <w:p>
      <w:pPr>
        <w:pStyle w:val="1197"/>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供应商（以下称乙方）:                                   签订地点： </w:t>
      </w:r>
      <w:r>
        <w:rPr>
          <w:rFonts w:hint="eastAsia" w:ascii="宋体" w:hAnsi="宋体" w:cs="宋体"/>
          <w:b/>
          <w:bCs/>
          <w:szCs w:val="21"/>
          <w:highlight w:val="none"/>
        </w:rPr>
      </w:r>
      <w:r/>
    </w:p>
    <w:p>
      <w:pPr>
        <w:pStyle w:val="1197"/>
        <w:ind w:firstLine="420"/>
        <w:jc w:val="right"/>
        <w:spacing w:line="360" w:lineRule="auto"/>
        <w:widowControl/>
        <w:rPr>
          <w:rFonts w:hint="eastAsia" w:ascii="宋体" w:hAnsi="宋体" w:cs="宋体"/>
          <w:szCs w:val="21"/>
          <w:highlight w:val="none"/>
        </w:rPr>
      </w:pPr>
      <w:r>
        <w:rPr>
          <w:rFonts w:hint="eastAsia" w:ascii="宋体" w:hAnsi="宋体" w:cs="宋体"/>
          <w:szCs w:val="21"/>
          <w:highlight w:val="none"/>
        </w:rPr>
        <w:t xml:space="preserve">合同时间: 年 月 日 </w:t>
      </w:r>
      <w:r>
        <w:rPr>
          <w:rFonts w:hint="eastAsia" w:ascii="宋体" w:hAnsi="宋体" w:cs="宋体"/>
          <w:szCs w:val="21"/>
          <w:highlight w:val="none"/>
        </w:rPr>
      </w:r>
      <w:r/>
    </w:p>
    <w:p>
      <w:pPr>
        <w:pStyle w:val="1197"/>
        <w:ind w:firstLine="420"/>
        <w:keepLines w:val="0"/>
        <w:keepNext w:val="0"/>
        <w:pageBreakBefore w:val="0"/>
        <w:spacing w:line="380" w:lineRule="exact"/>
        <w:widowControl/>
        <w:rPr>
          <w:b/>
        </w:rPr>
      </w:pPr>
      <w:r>
        <w:rPr>
          <w:rFonts w:hint="eastAsia" w:ascii="宋体" w:hAnsi="宋体" w:cs="宋体"/>
          <w:szCs w:val="21"/>
          <w:highlight w:val="none"/>
        </w:rPr>
        <w:t xml:space="preserve">甲乙双方依据《中华人民共和国民法典》以及有关法律、法规的规定，经协商一致，订立本合同，以便共同遵守。</w:t>
      </w:r>
      <w:r>
        <w:rPr>
          <w:b/>
        </w:rPr>
      </w:r>
      <w:r/>
    </w:p>
    <w:p>
      <w:pPr>
        <w:pStyle w:val="1197"/>
        <w:keepLines w:val="0"/>
        <w:keepNext w:val="0"/>
        <w:pageBreakBefore w:val="0"/>
        <w:spacing w:line="380" w:lineRule="exact"/>
        <w:rPr>
          <w:rFonts w:ascii="宋体" w:hAnsi="宋体" w:eastAsia="宋体" w:cs="宋体"/>
          <w:b/>
          <w:bCs/>
          <w:szCs w:val="21"/>
        </w:rPr>
      </w:pPr>
      <w:r>
        <w:rPr>
          <w:rFonts w:hint="eastAsia" w:ascii="宋体" w:hAnsi="宋体" w:eastAsia="宋体" w:cs="宋体"/>
          <w:b/>
          <w:bCs/>
          <w:szCs w:val="21"/>
        </w:rPr>
        <w:t xml:space="preserve">一、合同内容</w:t>
      </w:r>
      <w:r>
        <w:rPr>
          <w:rFonts w:ascii="宋体" w:hAnsi="宋体" w:eastAsia="宋体" w:cs="宋体"/>
          <w:b/>
          <w:bCs/>
          <w:szCs w:val="21"/>
        </w:rPr>
      </w:r>
      <w:r/>
    </w:p>
    <w:p>
      <w:pPr>
        <w:pStyle w:val="1197"/>
        <w:ind w:firstLine="420"/>
        <w:keepLines w:val="0"/>
        <w:keepNext w:val="0"/>
        <w:pageBreakBefore w:val="0"/>
        <w:spacing w:line="380" w:lineRule="exact"/>
        <w:rPr>
          <w:rFonts w:ascii="宋体" w:hAnsi="宋体" w:eastAsia="宋体" w:cs="宋体"/>
          <w:szCs w:val="21"/>
        </w:rPr>
      </w:pPr>
      <w:r>
        <w:rPr>
          <w:rFonts w:hint="eastAsia" w:ascii="宋体" w:hAnsi="宋体" w:eastAsia="宋体" w:cs="宋体"/>
          <w:szCs w:val="21"/>
        </w:rPr>
        <w:t xml:space="preserve">1.作业范围：</w:t>
      </w:r>
      <w:r>
        <w:rPr>
          <w:rFonts w:ascii="宋体" w:hAnsi="宋体" w:eastAsia="宋体" w:cs="宋体"/>
          <w:szCs w:val="21"/>
        </w:rPr>
      </w:r>
      <w:r/>
    </w:p>
    <w:tbl>
      <w:tblPr>
        <w:tblW w:w="10317" w:type="dxa"/>
        <w:tblInd w:w="-701" w:type="dxa"/>
        <w:tblLayout w:type="fixed"/>
        <w:tblCellMar>
          <w:left w:w="108" w:type="dxa"/>
          <w:top w:w="0" w:type="dxa"/>
          <w:right w:w="108" w:type="dxa"/>
          <w:bottom w:w="0" w:type="dxa"/>
        </w:tblCellMar>
        <w:tblLook w:val="04A0" w:firstRow="1" w:lastRow="0" w:firstColumn="1" w:lastColumn="0" w:noHBand="0" w:noVBand="1"/>
      </w:tblPr>
      <w:tblGrid>
        <w:gridCol w:w="741"/>
        <w:gridCol w:w="1470"/>
        <w:gridCol w:w="2001"/>
        <w:gridCol w:w="673"/>
        <w:gridCol w:w="454"/>
        <w:gridCol w:w="561"/>
        <w:gridCol w:w="668"/>
        <w:gridCol w:w="1304"/>
        <w:gridCol w:w="894"/>
        <w:gridCol w:w="774"/>
        <w:gridCol w:w="777"/>
      </w:tblGrid>
      <w:tr>
        <w:trPr>
          <w:trHeight w:val="408"/>
        </w:trPr>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序号</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道路名称</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起讫地点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道路  等级</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保洁时间</w:t>
            </w:r>
            <w:r>
              <w:rPr>
                <w:rFonts w:ascii="宋体" w:hAnsi="宋体" w:eastAsia="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W w:w="3427"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道路面积（平方米）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4" w:type="dxa"/>
            <w:vAlign w:val="center"/>
            <w:vMerge w:val="restart"/>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绿化合计（平方米）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果壳箱（只）</w:t>
            </w:r>
            <w:r>
              <w:rPr>
                <w:rFonts w:ascii="宋体" w:hAnsi="宋体" w:eastAsia="宋体" w:cs="宋体"/>
                <w:color w:val="000000"/>
                <w:szCs w:val="21"/>
              </w:rPr>
            </w:r>
            <w:r/>
          </w:p>
        </w:tc>
      </w:tr>
      <w:tr>
        <w:trPr>
          <w:trHeight w:val="606"/>
        </w:trPr>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机动车道</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197"/>
              <w:jc w:val="left"/>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非机动车道</w:t>
            </w:r>
            <w:r>
              <w:rPr>
                <w:rFonts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89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人行道</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r>
      <w:tr>
        <w:trPr>
          <w:trHeight w:val="826"/>
        </w:trPr>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长</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面积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面积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面积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r>
      <w:tr>
        <w:trPr>
          <w:trHeight w:val="606"/>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工舍路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Style w:val="1459"/>
                <w:sz w:val="21"/>
                <w:szCs w:val="21"/>
                <w:lang w:bidi="ar"/>
              </w:rPr>
              <w:t xml:space="preserve">清南路—兰陵北路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二级</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892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5695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10558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147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7" w:type="dxa"/>
            <w:vAlign w:val="bottom"/>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r>
      <w:tr>
        <w:trPr>
          <w:trHeight w:val="606"/>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工舍支路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Style w:val="1459"/>
                <w:sz w:val="21"/>
                <w:szCs w:val="21"/>
                <w:lang w:bidi="ar"/>
              </w:rPr>
              <w:t xml:space="preserve">广仁路——工舍路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二级</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116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927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1347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128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7" w:type="dxa"/>
            <w:vAlign w:val="bottom"/>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r>
      <w:tr>
        <w:trPr>
          <w:trHeight w:val="606"/>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清南桥东侧</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二级</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297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7" w:type="dxa"/>
            <w:vAlign w:val="bottom"/>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r>
      <w:tr>
        <w:trPr>
          <w:trHeight w:val="606"/>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清南桥西侧</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二级</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1961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7" w:type="dxa"/>
            <w:vAlign w:val="bottom"/>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r>
      <w:tr>
        <w:trPr>
          <w:trHeight w:val="625"/>
        </w:trPr>
        <w:tc>
          <w:tcPr>
            <w:gridSpan w:val="3"/>
            <w:tcBorders>
              <w:top w:val="single" w:color="000000" w:sz="4" w:space="0"/>
              <w:left w:val="single" w:color="000000" w:sz="4" w:space="0"/>
              <w:bottom w:val="single" w:color="000000" w:sz="4" w:space="0"/>
              <w:right w:val="single" w:color="000000" w:sz="4" w:space="0"/>
            </w:tcBorders>
            <w:tcW w:w="4212" w:type="dxa"/>
            <w:vAlign w:val="center"/>
            <w:textDirection w:val="lrTb"/>
            <w:noWrap/>
          </w:tcPr>
          <w:p>
            <w:pPr>
              <w:pStyle w:val="1197"/>
              <w:jc w:val="center"/>
              <w:keepLines w:val="0"/>
              <w:keepNext w:val="0"/>
              <w:pageBreakBefore w:val="0"/>
              <w:spacing w:line="360" w:lineRule="exact"/>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合       计</w:t>
            </w:r>
            <w:r>
              <w:rPr>
                <w:rFonts w:ascii="宋体" w:hAnsi="宋体" w:eastAsia="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197"/>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pStyle w:val="1197"/>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6622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14163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1197"/>
              <w:jc w:val="center"/>
              <w:keepLines w:val="0"/>
              <w:keepNext w:val="0"/>
              <w:pageBreakBefore w:val="0"/>
              <w:spacing w:line="36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275 </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pStyle w:val="1197"/>
              <w:jc w:val="center"/>
              <w:keepLines w:val="0"/>
              <w:keepNext w:val="0"/>
              <w:pageBreakBefore w:val="0"/>
              <w:spacing w:line="360" w:lineRule="exact"/>
              <w:rPr>
                <w:rFonts w:ascii="宋体" w:hAnsi="宋体" w:eastAsia="宋体" w:cs="宋体"/>
                <w:color w:val="000000"/>
                <w:szCs w:val="21"/>
              </w:rPr>
            </w:pPr>
            <w:r>
              <w:rPr>
                <w:rFonts w:ascii="宋体" w:hAnsi="宋体" w:eastAsia="宋体" w:cs="宋体"/>
                <w:color w:val="000000"/>
                <w:szCs w:val="21"/>
              </w:rPr>
            </w:r>
            <w:r/>
          </w:p>
        </w:tc>
      </w:tr>
    </w:tbl>
    <w:p>
      <w:pPr>
        <w:pStyle w:val="1298"/>
        <w:contextualSpacing/>
        <w:jc w:val="left"/>
        <w:keepLines w:val="0"/>
        <w:keepNext w:val="0"/>
        <w:pageBreakBefore w:val="0"/>
        <w:spacing w:line="380" w:lineRule="exact"/>
        <w:rPr>
          <w:rFonts w:hint="eastAsia" w:ascii="宋体" w:hAnsi="宋体" w:eastAsia="宋体" w:cs="宋体"/>
          <w:bCs/>
          <w:szCs w:val="21"/>
        </w:rPr>
      </w:pPr>
      <w:r>
        <w:rPr>
          <w:rFonts w:hint="eastAsia" w:ascii="宋体" w:hAnsi="宋体" w:eastAsia="宋体" w:cs="宋体"/>
          <w:szCs w:val="21"/>
        </w:rPr>
        <w:t xml:space="preserve">2.工作内容：本项目为</w:t>
      </w:r>
      <w:r>
        <w:rPr>
          <w:rFonts w:hint="eastAsia" w:ascii="宋体" w:hAnsi="宋体" w:eastAsia="宋体" w:cs="宋体"/>
          <w:b/>
          <w:bCs/>
          <w:szCs w:val="21"/>
          <w:u w:val="single"/>
        </w:rPr>
        <w:t xml:space="preserve">工舍路（兰陵北路-清南桥）道路清扫保洁作业服务项目</w:t>
      </w:r>
      <w:r>
        <w:rPr>
          <w:rFonts w:hint="eastAsia" w:ascii="宋体" w:hAnsi="宋体" w:eastAsia="宋体" w:cs="宋体"/>
          <w:szCs w:val="21"/>
        </w:rPr>
        <w:t xml:space="preserve">，服务内容包括但不限于负责</w:t>
      </w:r>
      <w:r>
        <w:rPr>
          <w:rFonts w:hint="eastAsia" w:ascii="宋体" w:hAnsi="宋体" w:eastAsia="宋体" w:cs="宋体"/>
          <w:bCs/>
          <w:szCs w:val="21"/>
        </w:rPr>
        <w:t xml:space="preserve">道路保洁垃圾的收集清运、街巷交界处延伸道路的保洁、果壳箱、垃圾桶、收集房、垃圾收集点的清洗保洁与垃圾清运(包括零星垃圾包)、生活垃圾的收集清运、绿化带保洁。</w:t>
      </w:r>
      <w:r>
        <w:rPr>
          <w:rFonts w:hint="eastAsia" w:ascii="宋体" w:hAnsi="宋体" w:eastAsia="宋体" w:cs="宋体"/>
          <w:bCs/>
          <w:szCs w:val="21"/>
        </w:rPr>
      </w:r>
      <w:r/>
    </w:p>
    <w:p>
      <w:pPr>
        <w:pStyle w:val="1197"/>
        <w:ind w:firstLine="420"/>
        <w:keepLines w:val="0"/>
        <w:keepNext w:val="0"/>
        <w:pageBreakBefore w:val="0"/>
        <w:spacing w:line="380" w:lineRule="exact"/>
        <w:widowControl/>
        <w:rPr>
          <w:rFonts w:hint="eastAsia" w:ascii="宋体" w:hAnsi="宋体" w:eastAsia="宋体" w:cs="宋体"/>
          <w:szCs w:val="21"/>
          <w:highlight w:val="none"/>
        </w:rPr>
      </w:pPr>
      <w:r>
        <w:rPr>
          <w:rFonts w:hint="eastAsia" w:ascii="宋体" w:hAnsi="宋体" w:eastAsia="宋体" w:cs="宋体"/>
          <w:szCs w:val="21"/>
        </w:rPr>
        <w:t xml:space="preserve">3.下列文件应视为构成合同文件的组成部分与本合同具有同等法律效力，这些文件包括但不限于</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197"/>
        <w:ind w:firstLine="420"/>
        <w:keepLines w:val="0"/>
        <w:keepNext w:val="0"/>
        <w:pageBreakBefore w:val="0"/>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（1）竞争性磋商文件（编号：   ）         （2）乙方提供的响应文件； </w:t>
      </w:r>
      <w:r>
        <w:rPr>
          <w:rFonts w:hint="eastAsia" w:ascii="宋体" w:hAnsi="宋体" w:eastAsia="宋体" w:cs="宋体"/>
          <w:szCs w:val="21"/>
          <w:highlight w:val="none"/>
        </w:rPr>
      </w:r>
      <w:r/>
    </w:p>
    <w:p>
      <w:pPr>
        <w:pStyle w:val="1197"/>
        <w:ind w:firstLine="420"/>
        <w:keepLines w:val="0"/>
        <w:keepNext w:val="0"/>
        <w:pageBreakBefore w:val="0"/>
        <w:spacing w:line="3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（3）成交通知书；                        （4）甲乙双方商定的其他文件等。</w:t>
      </w:r>
      <w:r>
        <w:rPr>
          <w:rFonts w:hint="eastAsia" w:ascii="宋体" w:hAnsi="宋体" w:eastAsia="宋体" w:cs="宋体"/>
          <w:szCs w:val="21"/>
          <w:highlight w:val="none"/>
        </w:rPr>
      </w:r>
      <w:r/>
    </w:p>
    <w:p>
      <w:pPr>
        <w:pStyle w:val="1197"/>
        <w:ind w:firstLine="420"/>
        <w:keepLines w:val="0"/>
        <w:keepNext w:val="0"/>
        <w:pageBreakBefore w:val="0"/>
        <w:spacing w:line="38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t xml:space="preserve">合同履行期限：贰年，</w:t>
      </w:r>
      <w:r>
        <w:rPr>
          <w:rFonts w:hint="eastAsia" w:ascii="宋体" w:hAnsi="宋体" w:eastAsia="宋体" w:cs="宋体"/>
          <w:color w:val="000000"/>
          <w:sz w:val="21"/>
          <w:szCs w:val="21"/>
          <w:highlight w:val="none"/>
          <w:lang w:val="en-US" w:eastAsia="zh-CN"/>
        </w:rPr>
        <w:t xml:space="preserve">本合同</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日起至</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日止</w:t>
      </w:r>
      <w:r>
        <w:rPr>
          <w:rFonts w:hint="eastAsia" w:ascii="宋体" w:hAnsi="宋体" w:eastAsia="宋体" w:cs="宋体"/>
          <w:color w:val="000000"/>
          <w:sz w:val="21"/>
          <w:szCs w:val="21"/>
          <w:highlight w:val="none"/>
          <w:lang w:eastAsia="zh-CN"/>
        </w:rPr>
        <w:t xml:space="preserve">。合同一年一签，一年合同期满后经</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eastAsia="zh-CN"/>
        </w:rPr>
        <w:t xml:space="preserve">考核合格后可续签下一年合同。本项目合同执行第</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年期，自</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日起至</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日止。</w:t>
      </w:r>
      <w:r>
        <w:rPr>
          <w:rFonts w:ascii="宋体" w:hAnsi="宋体" w:eastAsia="宋体" w:cs="宋体"/>
          <w:color w:val="000000"/>
          <w:szCs w:val="21"/>
          <w:highlight w:val="none"/>
          <w:lang w:val="en-US" w:eastAsia="zh-CN"/>
        </w:rPr>
      </w:r>
      <w:r/>
    </w:p>
    <w:p>
      <w:pPr>
        <w:pStyle w:val="1197"/>
        <w:ind w:firstLine="420"/>
        <w:keepLines w:val="0"/>
        <w:keepNext w:val="0"/>
        <w:pageBreakBefore w:val="0"/>
        <w:spacing w:line="38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.本项目合同金额为：小写：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lang w:val="en-US" w:eastAsia="zh-CN"/>
        </w:rPr>
        <w:t xml:space="preserve">/年</w:t>
      </w:r>
      <w:r>
        <w:rPr>
          <w:rFonts w:hint="eastAsia" w:ascii="宋体" w:hAnsi="宋体" w:eastAsia="宋体" w:cs="宋体"/>
          <w:color w:val="000000"/>
          <w:szCs w:val="21"/>
          <w:highlight w:val="none"/>
        </w:rPr>
        <w:t xml:space="preserve">，大写：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圆</w:t>
      </w:r>
      <w:r>
        <w:rPr>
          <w:rFonts w:hint="eastAsia" w:ascii="宋体" w:hAnsi="宋体" w:eastAsia="宋体" w:cs="宋体"/>
          <w:color w:val="000000"/>
          <w:szCs w:val="21"/>
          <w:highlight w:val="none"/>
          <w:lang w:val="en-US" w:eastAsia="zh-CN"/>
        </w:rPr>
        <w:t xml:space="preserve">/年</w:t>
      </w:r>
      <w:r>
        <w:rPr>
          <w:rFonts w:hint="eastAsia" w:ascii="宋体" w:hAnsi="宋体" w:eastAsia="宋体" w:cs="宋体"/>
          <w:color w:val="000000"/>
          <w:szCs w:val="21"/>
          <w:highlight w:val="none"/>
        </w:rPr>
        <w:t xml:space="preserve">（附报价分项表，分解至每月支付金额为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u w:val="single"/>
        </w:rPr>
      </w:r>
      <w:r/>
    </w:p>
    <w:p>
      <w:pPr>
        <w:pStyle w:val="1197"/>
        <w:ind w:firstLine="420"/>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合同款结算及支付</w:t>
      </w:r>
      <w:r>
        <w:rPr>
          <w:rFonts w:hint="eastAsia" w:ascii="宋体" w:hAnsi="宋体" w:eastAsia="宋体" w:cs="宋体"/>
          <w:color w:val="000000"/>
          <w:szCs w:val="21"/>
          <w:highlight w:val="none"/>
        </w:rPr>
      </w:r>
      <w:r/>
    </w:p>
    <w:p>
      <w:pPr>
        <w:pStyle w:val="1197"/>
        <w:ind w:left="46" w:firstLine="422"/>
        <w:jc w:val="left"/>
        <w:keepLines w:val="0"/>
        <w:keepNext w:val="0"/>
        <w:pageBreakBefore w:val="0"/>
        <w:spacing w:line="380" w:lineRule="exact"/>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t xml:space="preserve">（1）按月付款，</w:t>
      </w:r>
      <w:r>
        <w:rPr>
          <w:rFonts w:hint="eastAsia" w:ascii="宋体" w:hAnsi="宋体" w:eastAsia="宋体" w:cs="宋体"/>
          <w:b/>
          <w:bCs/>
          <w:color w:val="000000"/>
          <w:szCs w:val="21"/>
          <w:highlight w:val="none"/>
          <w:u w:val="single"/>
          <w:lang w:val="en-US" w:eastAsia="zh-CN"/>
        </w:rPr>
        <w:t xml:space="preserve">甲方</w:t>
      </w:r>
      <w:r>
        <w:rPr>
          <w:rFonts w:hint="eastAsia" w:ascii="宋体" w:hAnsi="宋体" w:eastAsia="宋体" w:cs="宋体"/>
          <w:b/>
          <w:bCs/>
          <w:color w:val="000000"/>
          <w:szCs w:val="21"/>
          <w:highlight w:val="none"/>
          <w:u w:val="single"/>
        </w:rPr>
        <w:t xml:space="preserve">按时向</w:t>
      </w:r>
      <w:r>
        <w:rPr>
          <w:rFonts w:hint="eastAsia" w:ascii="宋体" w:hAnsi="宋体" w:eastAsia="宋体" w:cs="宋体"/>
          <w:b/>
          <w:bCs/>
          <w:color w:val="000000"/>
          <w:szCs w:val="21"/>
          <w:highlight w:val="none"/>
          <w:u w:val="single"/>
          <w:lang w:val="en-US" w:eastAsia="zh-CN"/>
        </w:rPr>
        <w:t xml:space="preserve">乙方</w:t>
      </w:r>
      <w:r>
        <w:rPr>
          <w:rFonts w:hint="eastAsia" w:ascii="宋体" w:hAnsi="宋体" w:eastAsia="宋体" w:cs="宋体"/>
          <w:b/>
          <w:bCs/>
          <w:color w:val="000000"/>
          <w:szCs w:val="21"/>
          <w:highlight w:val="none"/>
          <w:u w:val="single"/>
        </w:rPr>
        <w:t xml:space="preserve">支付已完工（即上月）的作业服务款。</w:t>
      </w:r>
      <w:r>
        <w:rPr>
          <w:rFonts w:hint="eastAsia" w:ascii="宋体" w:hAnsi="宋体" w:eastAsia="宋体" w:cs="宋体"/>
          <w:b/>
          <w:bCs/>
          <w:color w:val="000000"/>
          <w:szCs w:val="21"/>
          <w:highlight w:val="none"/>
          <w:u w:val="single"/>
        </w:rPr>
      </w:r>
      <w:r/>
    </w:p>
    <w:p>
      <w:pPr>
        <w:pStyle w:val="1197"/>
        <w:ind w:left="46" w:firstLine="422"/>
        <w:jc w:val="left"/>
        <w:keepLines w:val="0"/>
        <w:keepNext w:val="0"/>
        <w:pageBreakBefore w:val="0"/>
        <w:spacing w:line="380" w:lineRule="exact"/>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t xml:space="preserve">（2）付款时间：次月支付，</w:t>
      </w:r>
      <w:r>
        <w:rPr>
          <w:rFonts w:hint="eastAsia" w:ascii="宋体" w:hAnsi="宋体" w:eastAsia="宋体" w:cs="宋体"/>
          <w:b/>
          <w:bCs/>
          <w:color w:val="000000"/>
          <w:szCs w:val="21"/>
          <w:highlight w:val="none"/>
          <w:u w:val="single"/>
          <w:lang w:val="en-US" w:eastAsia="zh-CN"/>
        </w:rPr>
        <w:t xml:space="preserve">乙方</w:t>
      </w:r>
      <w:r>
        <w:rPr>
          <w:rFonts w:hint="eastAsia" w:ascii="宋体" w:hAnsi="宋体" w:eastAsia="宋体" w:cs="宋体"/>
          <w:b/>
          <w:bCs/>
          <w:color w:val="000000"/>
          <w:szCs w:val="21"/>
          <w:highlight w:val="none"/>
          <w:u w:val="single"/>
        </w:rPr>
        <w:t xml:space="preserve">商凭街道考核表向</w:t>
      </w:r>
      <w:r>
        <w:rPr>
          <w:rFonts w:hint="eastAsia" w:ascii="宋体" w:hAnsi="宋体" w:eastAsia="宋体" w:cs="宋体"/>
          <w:b/>
          <w:bCs/>
          <w:color w:val="000000"/>
          <w:szCs w:val="21"/>
          <w:highlight w:val="none"/>
          <w:u w:val="single"/>
          <w:lang w:val="en-US" w:eastAsia="zh-CN"/>
        </w:rPr>
        <w:t xml:space="preserve">甲方</w:t>
      </w:r>
      <w:r>
        <w:rPr>
          <w:rFonts w:hint="eastAsia" w:ascii="宋体" w:hAnsi="宋体" w:eastAsia="宋体" w:cs="宋体"/>
          <w:b/>
          <w:bCs/>
          <w:color w:val="000000"/>
          <w:szCs w:val="21"/>
          <w:highlight w:val="none"/>
          <w:u w:val="single"/>
        </w:rPr>
        <w:t xml:space="preserve">申报。</w:t>
      </w:r>
      <w:r>
        <w:rPr>
          <w:rFonts w:hint="eastAsia" w:ascii="宋体" w:hAnsi="宋体" w:eastAsia="宋体" w:cs="宋体"/>
          <w:b/>
          <w:bCs/>
          <w:color w:val="000000"/>
          <w:szCs w:val="21"/>
          <w:highlight w:val="none"/>
          <w:u w:val="single"/>
        </w:rPr>
      </w:r>
      <w:r/>
    </w:p>
    <w:p>
      <w:pPr>
        <w:pStyle w:val="1197"/>
        <w:ind w:left="46" w:firstLine="422"/>
        <w:jc w:val="left"/>
        <w:keepLines w:val="0"/>
        <w:keepNext w:val="0"/>
        <w:pageBreakBefore w:val="0"/>
        <w:spacing w:line="380" w:lineRule="exact"/>
        <w:rPr>
          <w:rFonts w:hint="eastAsia"/>
          <w:b/>
          <w:bCs/>
          <w:color w:val="000000"/>
          <w:highlight w:val="none"/>
          <w:u w:val="single"/>
        </w:rPr>
      </w:pPr>
      <w:r>
        <w:rPr>
          <w:rFonts w:hint="eastAsia" w:ascii="宋体" w:hAnsi="宋体" w:eastAsia="宋体" w:cs="宋体"/>
          <w:b/>
          <w:bCs/>
          <w:color w:val="000000"/>
          <w:szCs w:val="21"/>
          <w:highlight w:val="none"/>
          <w:u w:val="single"/>
        </w:rPr>
        <w:t xml:space="preserve">（3）扣款方式：结合《环卫作业考评奖惩办法》、《环卫作业考评细则》进行考核年度结算，发生扣款直接在第四季度一次性扣除结算。</w:t>
      </w:r>
      <w:r>
        <w:rPr>
          <w:rFonts w:hint="eastAsia"/>
          <w:b/>
          <w:bCs/>
          <w:color w:val="000000"/>
          <w:highlight w:val="none"/>
          <w:u w:val="single"/>
        </w:rPr>
      </w:r>
      <w:r/>
    </w:p>
    <w:p>
      <w:pPr>
        <w:pStyle w:val="1197"/>
        <w:keepLines w:val="0"/>
        <w:keepNext w:val="0"/>
        <w:pageBreakBefore w:val="0"/>
        <w:spacing w:line="38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二、甲方权利和义务</w:t>
      </w:r>
      <w:r>
        <w:rPr>
          <w:rFonts w:hint="eastAsia" w:ascii="宋体" w:hAnsi="宋体" w:eastAsia="宋体" w:cs="宋体"/>
          <w:b/>
          <w:bCs/>
          <w:szCs w:val="21"/>
          <w:highlight w:val="none"/>
        </w:rPr>
      </w:r>
      <w:r/>
    </w:p>
    <w:p>
      <w:pPr>
        <w:pStyle w:val="1197"/>
        <w:ind w:firstLine="420"/>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highlight w:val="none"/>
        </w:rPr>
        <w:t xml:space="preserve">1.根据常城管【2021】32号《常州市城市管理局关于印发&lt;常州市环卫作业服务企业信用管理办法（试行）&gt;的通知》精神，对乙方作业服务及履行合同情况进行</w:t>
      </w:r>
      <w:r>
        <w:rPr>
          <w:rFonts w:hint="eastAsia" w:ascii="宋体" w:hAnsi="宋体" w:eastAsia="宋体" w:cs="宋体"/>
          <w:szCs w:val="21"/>
        </w:rPr>
        <w:t xml:space="preserve">考核和指导。</w:t>
      </w:r>
      <w:r>
        <w:rPr>
          <w:rFonts w:hint="eastAsia" w:ascii="宋体" w:hAnsi="宋体" w:eastAsia="宋体" w:cs="宋体"/>
          <w:szCs w:val="21"/>
        </w:rPr>
      </w:r>
      <w:r/>
    </w:p>
    <w:p>
      <w:pPr>
        <w:pStyle w:val="1197"/>
        <w:ind w:firstLine="424"/>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2.根据本标段作业考核的结果，向乙方支付承包费。每次付款前，乙方应向甲方提供符合要求的发票。</w:t>
      </w:r>
      <w:r>
        <w:rPr>
          <w:rFonts w:hint="eastAsia" w:ascii="宋体" w:hAnsi="宋体" w:eastAsia="宋体" w:cs="宋体"/>
          <w:szCs w:val="21"/>
        </w:rPr>
      </w:r>
      <w:r/>
    </w:p>
    <w:p>
      <w:pPr>
        <w:pStyle w:val="1197"/>
        <w:ind w:firstLine="424"/>
        <w:keepLines w:val="0"/>
        <w:keepNext w:val="0"/>
        <w:pageBreakBefore w:val="0"/>
        <w:spacing w:line="380" w:lineRule="exact"/>
        <w:tabs>
          <w:tab w:val="left" w:pos="0" w:leader="none"/>
        </w:tabs>
        <w:rPr>
          <w:rFonts w:hint="eastAsia" w:ascii="宋体" w:hAnsi="宋体" w:eastAsia="宋体" w:cs="宋体"/>
          <w:szCs w:val="21"/>
        </w:rPr>
      </w:pPr>
      <w:r>
        <w:rPr>
          <w:rFonts w:hint="eastAsia" w:ascii="宋体" w:hAnsi="宋体" w:eastAsia="宋体" w:cs="宋体"/>
          <w:szCs w:val="21"/>
        </w:rPr>
        <w:t xml:space="preserve">3.听取乙方提出的建议并给予答复。</w:t>
      </w:r>
      <w:r>
        <w:rPr>
          <w:rFonts w:hint="eastAsia" w:ascii="宋体" w:hAnsi="宋体" w:eastAsia="宋体" w:cs="宋体"/>
          <w:szCs w:val="21"/>
        </w:rPr>
      </w:r>
      <w:r/>
    </w:p>
    <w:p>
      <w:pPr>
        <w:pStyle w:val="1197"/>
        <w:ind w:firstLine="424"/>
        <w:keepLines w:val="0"/>
        <w:keepNext w:val="0"/>
        <w:pageBreakBefore w:val="0"/>
        <w:spacing w:line="380" w:lineRule="exact"/>
        <w:tabs>
          <w:tab w:val="left" w:pos="0" w:leader="none"/>
        </w:tabs>
        <w:rPr>
          <w:rFonts w:hint="eastAsia" w:ascii="宋体" w:hAnsi="宋体" w:eastAsia="宋体" w:cs="宋体"/>
          <w:szCs w:val="21"/>
        </w:rPr>
      </w:pPr>
      <w:r>
        <w:rPr>
          <w:rFonts w:hint="eastAsia" w:ascii="宋体" w:hAnsi="宋体" w:eastAsia="宋体" w:cs="宋体"/>
          <w:szCs w:val="21"/>
        </w:rPr>
        <w:t xml:space="preserve">4.监督乙方履行承诺。</w:t>
      </w:r>
      <w:r>
        <w:rPr>
          <w:rFonts w:hint="eastAsia" w:ascii="宋体" w:hAnsi="宋体" w:eastAsia="宋体" w:cs="宋体"/>
          <w:szCs w:val="21"/>
        </w:rPr>
      </w:r>
      <w:r/>
    </w:p>
    <w:p>
      <w:pPr>
        <w:pStyle w:val="1197"/>
        <w:ind w:firstLine="424"/>
        <w:keepLines w:val="0"/>
        <w:keepNext w:val="0"/>
        <w:pageBreakBefore w:val="0"/>
        <w:spacing w:line="380" w:lineRule="exact"/>
        <w:tabs>
          <w:tab w:val="left" w:pos="0" w:leader="none"/>
        </w:tabs>
        <w:rPr>
          <w:rFonts w:hint="eastAsia" w:ascii="宋体" w:hAnsi="宋体" w:eastAsia="宋体" w:cs="宋体"/>
          <w:szCs w:val="21"/>
        </w:rPr>
      </w:pPr>
      <w:r>
        <w:rPr>
          <w:rFonts w:hint="eastAsia" w:ascii="宋体" w:hAnsi="宋体" w:eastAsia="宋体" w:cs="宋体"/>
          <w:szCs w:val="21"/>
        </w:rPr>
        <w:t xml:space="preserve">5.有对作业服务要求和质量考核办法的解释权。</w:t>
      </w:r>
      <w:r>
        <w:rPr>
          <w:rFonts w:hint="eastAsia" w:ascii="宋体" w:hAnsi="宋体" w:eastAsia="宋体" w:cs="宋体"/>
          <w:szCs w:val="21"/>
        </w:rPr>
      </w:r>
      <w:r/>
    </w:p>
    <w:p>
      <w:pPr>
        <w:pStyle w:val="1197"/>
        <w:keepLines w:val="0"/>
        <w:keepNext w:val="0"/>
        <w:pageBreakBefore w:val="0"/>
        <w:spacing w:line="380" w:lineRule="exact"/>
        <w:rPr>
          <w:rFonts w:hint="eastAsia" w:ascii="宋体" w:hAnsi="宋体" w:eastAsia="宋体" w:cs="宋体"/>
          <w:b/>
          <w:bCs/>
          <w:szCs w:val="21"/>
        </w:rPr>
      </w:pPr>
      <w:r>
        <w:rPr>
          <w:rFonts w:hint="eastAsia" w:ascii="宋体" w:hAnsi="宋体" w:eastAsia="宋体" w:cs="宋体"/>
          <w:b/>
          <w:bCs/>
          <w:szCs w:val="21"/>
        </w:rPr>
        <w:t xml:space="preserve">三、乙方权利和义务</w:t>
      </w:r>
      <w:r>
        <w:rPr>
          <w:rFonts w:hint="eastAsia" w:ascii="宋体" w:hAnsi="宋体" w:eastAsia="宋体" w:cs="宋体"/>
          <w:b/>
          <w:bCs/>
          <w:szCs w:val="21"/>
        </w:rPr>
      </w:r>
      <w:r/>
    </w:p>
    <w:p>
      <w:pPr>
        <w:pStyle w:val="1197"/>
        <w:ind w:firstLine="420"/>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1.根据常城管【2021】32号《常州市城市管理局关于印发&lt;常州市环卫作业服务企业信用管理办法（试行）&gt;的通知》中相关条款和投标响应文件所作的承诺组织作业。</w:t>
      </w:r>
      <w:r>
        <w:rPr>
          <w:rFonts w:hint="eastAsia" w:ascii="宋体" w:hAnsi="宋体" w:eastAsia="宋体" w:cs="宋体"/>
          <w:szCs w:val="21"/>
        </w:rPr>
      </w:r>
      <w:r/>
    </w:p>
    <w:p>
      <w:pPr>
        <w:pStyle w:val="1197"/>
        <w:ind w:firstLine="420"/>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2.为保证作业的正常有效开展，乙方负责组成固定的专业服务队伍，按要求提交作业计划和预案，经甲方认可并备案。</w:t>
      </w:r>
      <w:r>
        <w:rPr>
          <w:rFonts w:hint="eastAsia" w:ascii="宋体" w:hAnsi="宋体" w:eastAsia="宋体" w:cs="宋体"/>
          <w:szCs w:val="21"/>
        </w:rPr>
      </w:r>
      <w:r/>
    </w:p>
    <w:p>
      <w:pPr>
        <w:pStyle w:val="1197"/>
        <w:ind w:firstLine="420"/>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3.接受甲方和相关管理部门的考核及其结果。</w:t>
      </w:r>
      <w:r>
        <w:rPr>
          <w:rFonts w:hint="eastAsia" w:ascii="宋体" w:hAnsi="宋体" w:eastAsia="宋体" w:cs="宋体"/>
          <w:szCs w:val="21"/>
        </w:rPr>
      </w:r>
      <w:r/>
    </w:p>
    <w:p>
      <w:pPr>
        <w:pStyle w:val="1197"/>
        <w:ind w:firstLine="420"/>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4.独立承担作业中的人员安全责任、财产的经济赔偿责任。</w:t>
      </w:r>
      <w:r>
        <w:rPr>
          <w:rFonts w:hint="eastAsia" w:ascii="宋体" w:hAnsi="宋体" w:eastAsia="宋体" w:cs="宋体"/>
          <w:szCs w:val="21"/>
        </w:rPr>
      </w:r>
      <w:r/>
    </w:p>
    <w:p>
      <w:pPr>
        <w:pStyle w:val="1197"/>
        <w:ind w:firstLine="420"/>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5.在任何情况下（如灾害天气期间或重大活动期间），乙方均应无条件按甲方要求完成甲方或政府主管部门安排的指令性任务。</w:t>
      </w:r>
      <w:r>
        <w:rPr>
          <w:rFonts w:hint="eastAsia" w:ascii="宋体" w:hAnsi="宋体" w:eastAsia="宋体" w:cs="宋体"/>
          <w:szCs w:val="21"/>
        </w:rPr>
      </w:r>
      <w:r/>
    </w:p>
    <w:p>
      <w:pPr>
        <w:pStyle w:val="1197"/>
        <w:ind w:firstLine="420"/>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6.自觉执行国家的法律、法规，按常州市有关规定及时缴纳“五金”，签订劳动用工合同，作业及管理人员工资不得低于常州市最低工资标准，独立承担和处理劳资纠纷等工作。</w:t>
      </w:r>
      <w:r>
        <w:rPr>
          <w:rFonts w:hint="eastAsia" w:ascii="宋体" w:hAnsi="宋体" w:eastAsia="宋体" w:cs="宋体"/>
          <w:szCs w:val="21"/>
        </w:rPr>
      </w:r>
      <w:r/>
    </w:p>
    <w:p>
      <w:pPr>
        <w:pStyle w:val="1197"/>
        <w:ind w:firstLine="420"/>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7.接受甲方和社会监督，对存在的问题在指定时间内整改到位，并将整改结果报甲方。</w:t>
      </w:r>
      <w:r>
        <w:rPr>
          <w:rFonts w:hint="eastAsia" w:ascii="宋体" w:hAnsi="宋体" w:eastAsia="宋体" w:cs="宋体"/>
          <w:szCs w:val="21"/>
        </w:rPr>
      </w:r>
      <w:r/>
    </w:p>
    <w:p>
      <w:pPr>
        <w:pStyle w:val="1197"/>
        <w:ind w:firstLine="420"/>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8.准时参加甲方召开的会议。</w:t>
      </w:r>
      <w:r>
        <w:rPr>
          <w:rFonts w:hint="eastAsia" w:ascii="宋体" w:hAnsi="宋体" w:eastAsia="宋体" w:cs="宋体"/>
          <w:szCs w:val="21"/>
        </w:rPr>
      </w:r>
      <w:r/>
    </w:p>
    <w:p>
      <w:pPr>
        <w:pStyle w:val="1197"/>
        <w:ind w:firstLine="420"/>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9.向甲方提出合理化建议。</w:t>
      </w:r>
      <w:r>
        <w:rPr>
          <w:rFonts w:hint="eastAsia" w:ascii="宋体" w:hAnsi="宋体" w:eastAsia="宋体" w:cs="宋体"/>
          <w:szCs w:val="21"/>
        </w:rPr>
      </w:r>
      <w:r/>
    </w:p>
    <w:p>
      <w:pPr>
        <w:pStyle w:val="1197"/>
        <w:keepLines w:val="0"/>
        <w:keepNext w:val="0"/>
        <w:pageBreakBefore w:val="0"/>
        <w:spacing w:line="380" w:lineRule="exact"/>
        <w:rPr>
          <w:rFonts w:hint="eastAsia" w:ascii="宋体" w:hAnsi="宋体" w:eastAsia="宋体" w:cs="宋体"/>
          <w:b/>
          <w:bCs/>
          <w:szCs w:val="21"/>
        </w:rPr>
      </w:pPr>
      <w:r>
        <w:rPr>
          <w:rFonts w:hint="eastAsia" w:ascii="宋体" w:hAnsi="宋体" w:eastAsia="宋体" w:cs="宋体"/>
          <w:b/>
          <w:bCs/>
          <w:szCs w:val="21"/>
        </w:rPr>
        <w:t xml:space="preserve">四、违约责任</w:t>
      </w:r>
      <w:r>
        <w:rPr>
          <w:rFonts w:hint="eastAsia" w:ascii="宋体" w:hAnsi="宋体" w:eastAsia="宋体" w:cs="宋体"/>
          <w:b/>
          <w:bCs/>
          <w:szCs w:val="21"/>
        </w:rPr>
      </w:r>
      <w:r/>
    </w:p>
    <w:p>
      <w:pPr>
        <w:pStyle w:val="1197"/>
        <w:ind w:left="2" w:firstLine="424"/>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1.合同一方不履行合同义务或违反履行合同义务约定的，应当承担继续履行、采取补救措施或者赔偿损失等违约责任。</w:t>
      </w:r>
      <w:r>
        <w:rPr>
          <w:rFonts w:hint="eastAsia" w:ascii="宋体" w:hAnsi="宋体" w:eastAsia="宋体" w:cs="宋体"/>
          <w:szCs w:val="21"/>
        </w:rPr>
      </w:r>
      <w:r/>
    </w:p>
    <w:p>
      <w:pPr>
        <w:pStyle w:val="1197"/>
        <w:ind w:left="2" w:firstLine="424"/>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2.甲方逾期付款应按照逾期付款金额的每日万分之一支付逾期付款违约金，违约金最高不得超过合同总金额的5%。</w:t>
      </w:r>
      <w:r>
        <w:rPr>
          <w:rFonts w:hint="eastAsia" w:ascii="宋体" w:hAnsi="宋体" w:eastAsia="宋体" w:cs="宋体"/>
          <w:szCs w:val="21"/>
        </w:rPr>
      </w:r>
      <w:r/>
    </w:p>
    <w:p>
      <w:pPr>
        <w:pStyle w:val="1197"/>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    3.乙方出现下列情况之一的，乙方应承担相应违约责任并向甲方支付合同总金额5%的违约金；若实际损失高于违约金的，甲方有权要求乙方赔偿相应的违约损失： </w:t>
      </w:r>
      <w:r>
        <w:rPr>
          <w:rFonts w:hint="eastAsia" w:ascii="宋体" w:hAnsi="宋体" w:eastAsia="宋体" w:cs="宋体"/>
          <w:szCs w:val="21"/>
        </w:rPr>
      </w:r>
      <w:r/>
    </w:p>
    <w:p>
      <w:pPr>
        <w:pStyle w:val="1197"/>
        <w:ind w:firstLine="359"/>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①由于自身管理不善发生群体性事件的；</w:t>
      </w:r>
      <w:r>
        <w:rPr>
          <w:rFonts w:hint="eastAsia" w:ascii="宋体" w:hAnsi="宋体" w:eastAsia="宋体" w:cs="宋体"/>
          <w:szCs w:val="21"/>
        </w:rPr>
      </w:r>
      <w:r/>
    </w:p>
    <w:p>
      <w:pPr>
        <w:pStyle w:val="1197"/>
        <w:ind w:firstLine="359"/>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②发生重大违规违法现象的或发生重大安全事故或财产纠纷；</w:t>
      </w:r>
      <w:r>
        <w:rPr>
          <w:rFonts w:hint="eastAsia" w:ascii="宋体" w:hAnsi="宋体" w:eastAsia="宋体" w:cs="宋体"/>
          <w:szCs w:val="21"/>
        </w:rPr>
      </w:r>
      <w:r/>
    </w:p>
    <w:p>
      <w:pPr>
        <w:pStyle w:val="1197"/>
        <w:ind w:firstLine="359"/>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③有媒体曝光、市长信箱等投诉且整改不到位的；</w:t>
      </w:r>
      <w:r>
        <w:rPr>
          <w:rFonts w:hint="eastAsia" w:ascii="宋体" w:hAnsi="宋体" w:eastAsia="宋体" w:cs="宋体"/>
          <w:szCs w:val="21"/>
        </w:rPr>
      </w:r>
      <w:r/>
    </w:p>
    <w:p>
      <w:pPr>
        <w:pStyle w:val="1197"/>
        <w:ind w:firstLine="359"/>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④有严重侵犯工人利益的，如公司未按时缴纳社保或发放工资，经甲方督促在规定的时间段仍未缴纳或发放的；或合同期内出现两次未及时缴纳社保或发放工资的；</w:t>
      </w:r>
      <w:r>
        <w:rPr>
          <w:rFonts w:hint="eastAsia" w:ascii="宋体" w:hAnsi="宋体" w:eastAsia="宋体" w:cs="宋体"/>
          <w:szCs w:val="21"/>
        </w:rPr>
      </w:r>
      <w:r/>
    </w:p>
    <w:p>
      <w:pPr>
        <w:pStyle w:val="1197"/>
        <w:ind w:firstLine="359"/>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⑤乙方违反本合同任一条款，经催告仍未改正的；</w:t>
      </w:r>
      <w:r>
        <w:rPr>
          <w:rFonts w:hint="eastAsia" w:ascii="宋体" w:hAnsi="宋体" w:eastAsia="宋体" w:cs="宋体"/>
          <w:szCs w:val="21"/>
        </w:rPr>
      </w:r>
      <w:r/>
    </w:p>
    <w:p>
      <w:pPr>
        <w:pStyle w:val="1197"/>
        <w:ind w:firstLine="359"/>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⑥乙方存在严重违反本协议的其他行为。</w:t>
      </w:r>
      <w:r>
        <w:rPr>
          <w:rFonts w:hint="eastAsia" w:ascii="宋体" w:hAnsi="宋体" w:eastAsia="宋体" w:cs="宋体"/>
          <w:szCs w:val="21"/>
        </w:rPr>
      </w:r>
      <w:r/>
    </w:p>
    <w:p>
      <w:pPr>
        <w:pStyle w:val="1197"/>
        <w:keepLines w:val="0"/>
        <w:keepNext w:val="0"/>
        <w:pageBreakBefore w:val="0"/>
        <w:spacing w:line="380" w:lineRule="exact"/>
        <w:rPr>
          <w:rFonts w:hint="eastAsia" w:ascii="宋体" w:hAnsi="宋体" w:eastAsia="宋体" w:cs="宋体"/>
          <w:b/>
          <w:bCs/>
          <w:szCs w:val="21"/>
        </w:rPr>
      </w:pPr>
      <w:r>
        <w:rPr>
          <w:rFonts w:hint="eastAsia" w:ascii="宋体" w:hAnsi="宋体" w:eastAsia="宋体" w:cs="宋体"/>
          <w:b/>
          <w:bCs/>
          <w:szCs w:val="21"/>
        </w:rPr>
        <w:t xml:space="preserve">五、不可抗力</w:t>
      </w:r>
      <w:r>
        <w:rPr>
          <w:rFonts w:hint="eastAsia" w:ascii="宋体" w:hAnsi="宋体" w:eastAsia="宋体" w:cs="宋体"/>
          <w:b/>
          <w:bCs/>
          <w:szCs w:val="21"/>
        </w:rPr>
      </w:r>
      <w:r/>
    </w:p>
    <w:p>
      <w:pPr>
        <w:pStyle w:val="1197"/>
        <w:ind w:firstLine="424"/>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1.因不可抗力（或甲、乙双方不能控制的原因）不能履行合同的，根据不可抗力的影响，部分或者全部免除责任，但合同一方迟延履行后发生不可抗力的，不能免除其责任。</w:t>
      </w:r>
      <w:r>
        <w:rPr>
          <w:rFonts w:hint="eastAsia" w:ascii="宋体" w:hAnsi="宋体" w:eastAsia="宋体" w:cs="宋体"/>
          <w:szCs w:val="21"/>
        </w:rPr>
      </w:r>
      <w:r/>
    </w:p>
    <w:p>
      <w:pPr>
        <w:pStyle w:val="1197"/>
        <w:ind w:firstLine="424"/>
        <w:keepLines w:val="0"/>
        <w:keepNext w:val="0"/>
        <w:pageBreakBefore w:val="0"/>
        <w:spacing w:line="380" w:lineRule="exact"/>
        <w:tabs>
          <w:tab w:val="left" w:pos="720" w:leader="none"/>
        </w:tabs>
        <w:rPr>
          <w:rFonts w:hint="eastAsia" w:ascii="宋体" w:hAnsi="宋体" w:eastAsia="宋体" w:cs="宋体"/>
          <w:szCs w:val="21"/>
        </w:rPr>
      </w:pPr>
      <w:r>
        <w:rPr>
          <w:rFonts w:hint="eastAsia" w:ascii="宋体" w:hAnsi="宋体" w:eastAsia="宋体" w:cs="宋体"/>
          <w:szCs w:val="21"/>
        </w:rPr>
        <w:t xml:space="preserve">2.合同一方因不可抗力不能履行合同的，应当及时通知对方，以减轻可能给对方造成的损失，并应当在合理期限内提供证明。</w:t>
      </w:r>
      <w:r>
        <w:rPr>
          <w:rFonts w:hint="eastAsia" w:ascii="宋体" w:hAnsi="宋体" w:eastAsia="宋体" w:cs="宋体"/>
          <w:szCs w:val="21"/>
        </w:rPr>
      </w:r>
      <w:r/>
    </w:p>
    <w:p>
      <w:pPr>
        <w:pStyle w:val="1197"/>
        <w:keepLines w:val="0"/>
        <w:keepNext w:val="0"/>
        <w:pageBreakBefore w:val="0"/>
        <w:spacing w:line="380" w:lineRule="exact"/>
        <w:rPr>
          <w:rFonts w:hint="eastAsia" w:ascii="宋体" w:hAnsi="宋体" w:eastAsia="宋体" w:cs="宋体"/>
          <w:b/>
          <w:bCs/>
          <w:szCs w:val="21"/>
        </w:rPr>
      </w:pPr>
      <w:r>
        <w:rPr>
          <w:rFonts w:hint="eastAsia" w:ascii="宋体" w:hAnsi="宋体" w:eastAsia="宋体" w:cs="宋体"/>
          <w:b/>
          <w:bCs/>
          <w:szCs w:val="21"/>
        </w:rPr>
        <w:t xml:space="preserve">六、合同生效及其它</w:t>
      </w:r>
      <w:r>
        <w:rPr>
          <w:rFonts w:hint="eastAsia" w:ascii="宋体" w:hAnsi="宋体" w:eastAsia="宋体" w:cs="宋体"/>
          <w:b/>
          <w:bCs/>
          <w:szCs w:val="21"/>
        </w:rPr>
      </w:r>
      <w:r/>
    </w:p>
    <w:p>
      <w:pPr>
        <w:pStyle w:val="1197"/>
        <w:ind w:firstLine="424"/>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合同经双方签字并盖章后即生效。</w:t>
      </w:r>
      <w:r>
        <w:rPr>
          <w:rFonts w:hint="eastAsia" w:ascii="宋体" w:hAnsi="宋体" w:eastAsia="宋体" w:cs="宋体"/>
          <w:szCs w:val="21"/>
        </w:rPr>
      </w:r>
      <w:r/>
    </w:p>
    <w:p>
      <w:pPr>
        <w:pStyle w:val="1197"/>
        <w:keepLines w:val="0"/>
        <w:keepNext w:val="0"/>
        <w:pageBreakBefore w:val="0"/>
        <w:spacing w:line="380" w:lineRule="exact"/>
        <w:rPr>
          <w:rFonts w:hint="eastAsia" w:ascii="宋体" w:hAnsi="宋体" w:eastAsia="宋体" w:cs="宋体"/>
          <w:b/>
          <w:bCs/>
          <w:szCs w:val="21"/>
        </w:rPr>
      </w:pPr>
      <w:r>
        <w:rPr>
          <w:rFonts w:hint="eastAsia" w:ascii="宋体" w:hAnsi="宋体" w:eastAsia="宋体" w:cs="宋体"/>
          <w:b/>
          <w:bCs/>
          <w:szCs w:val="21"/>
        </w:rPr>
        <w:t xml:space="preserve">七、合同的解除和转让</w:t>
      </w:r>
      <w:r>
        <w:rPr>
          <w:rFonts w:hint="eastAsia" w:ascii="宋体" w:hAnsi="宋体" w:eastAsia="宋体" w:cs="宋体"/>
          <w:b/>
          <w:bCs/>
          <w:szCs w:val="21"/>
        </w:rPr>
      </w:r>
      <w:r/>
    </w:p>
    <w:p>
      <w:pPr>
        <w:pStyle w:val="1197"/>
        <w:ind w:firstLine="424"/>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1.甲方和乙方协商一致，可以解除合同。合同解除应提前15日由甲方书面报告见证方。</w:t>
      </w:r>
      <w:r>
        <w:rPr>
          <w:rFonts w:hint="eastAsia" w:ascii="宋体" w:hAnsi="宋体" w:eastAsia="宋体" w:cs="宋体"/>
          <w:szCs w:val="21"/>
        </w:rPr>
      </w:r>
      <w:r/>
    </w:p>
    <w:p>
      <w:pPr>
        <w:pStyle w:val="1197"/>
        <w:ind w:firstLine="424"/>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2.有下列情况之一，合同一方可以要求解除合同：</w:t>
      </w:r>
      <w:r>
        <w:rPr>
          <w:rFonts w:hint="eastAsia" w:ascii="宋体" w:hAnsi="宋体" w:eastAsia="宋体" w:cs="宋体"/>
          <w:szCs w:val="21"/>
        </w:rPr>
      </w:r>
      <w:r/>
    </w:p>
    <w:p>
      <w:pPr>
        <w:pStyle w:val="1197"/>
        <w:ind w:firstLine="424"/>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①因不可抗力致使不能实现合同目的，未受不可抗力影响的一方有权解除合同；</w:t>
      </w:r>
      <w:r>
        <w:rPr>
          <w:rFonts w:hint="eastAsia" w:ascii="宋体" w:hAnsi="宋体" w:eastAsia="宋体" w:cs="宋体"/>
          <w:szCs w:val="21"/>
        </w:rPr>
      </w:r>
      <w:r/>
    </w:p>
    <w:p>
      <w:pPr>
        <w:pStyle w:val="1197"/>
        <w:ind w:firstLine="424"/>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szCs w:val="21"/>
        </w:rPr>
        <w:t xml:space="preserve">②因合同一方违约</w:t>
      </w:r>
      <w:r>
        <w:rPr>
          <w:rFonts w:hint="eastAsia" w:ascii="宋体" w:hAnsi="宋体" w:eastAsia="宋体" w:cs="宋体"/>
          <w:color w:val="000000"/>
          <w:szCs w:val="21"/>
          <w:highlight w:val="none"/>
        </w:rPr>
        <w:t xml:space="preserve">导致合同不能履行，另一方有权解除合同。</w:t>
      </w:r>
      <w:r>
        <w:rPr>
          <w:rFonts w:hint="eastAsia" w:ascii="宋体" w:hAnsi="宋体" w:eastAsia="宋体" w:cs="宋体"/>
          <w:color w:val="000000"/>
          <w:szCs w:val="21"/>
          <w:highlight w:val="none"/>
        </w:rPr>
      </w:r>
      <w:r/>
    </w:p>
    <w:p>
      <w:pPr>
        <w:pStyle w:val="1197"/>
        <w:ind w:firstLine="424"/>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3.有权解除合同的一方，应当在违约事实或不可抗力发生之后30天内书面通知对方提出解除合同，合同在书面通知到达对方时解除。</w:t>
      </w:r>
      <w:r>
        <w:rPr>
          <w:rFonts w:hint="eastAsia" w:ascii="宋体" w:hAnsi="宋体" w:eastAsia="宋体" w:cs="宋体"/>
          <w:color w:val="000000"/>
          <w:szCs w:val="21"/>
          <w:highlight w:val="none"/>
        </w:rPr>
      </w:r>
      <w:r/>
    </w:p>
    <w:p>
      <w:pPr>
        <w:pStyle w:val="1197"/>
        <w:ind w:left="105" w:firstLine="319"/>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4.合同的部分或全部都不得转包或分包。</w:t>
      </w:r>
      <w:r>
        <w:rPr>
          <w:rFonts w:hint="eastAsia" w:ascii="宋体" w:hAnsi="宋体" w:eastAsia="宋体" w:cs="宋体"/>
          <w:color w:val="000000"/>
          <w:szCs w:val="21"/>
          <w:highlight w:val="none"/>
        </w:rPr>
      </w:r>
      <w:r/>
    </w:p>
    <w:p>
      <w:pPr>
        <w:pStyle w:val="1197"/>
        <w:ind w:left="105" w:firstLine="319"/>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5.如有下列情况，甲方有权单方面解除合同，乙方应向甲方支付合同总价款5%的违约金；若实际损失高于违约金的，乙方应赔偿相应的损失：</w:t>
      </w:r>
      <w:r>
        <w:rPr>
          <w:rFonts w:hint="eastAsia" w:ascii="宋体" w:hAnsi="宋体" w:eastAsia="宋体" w:cs="宋体"/>
          <w:color w:val="000000"/>
          <w:szCs w:val="21"/>
          <w:highlight w:val="none"/>
        </w:rPr>
      </w:r>
      <w:r/>
    </w:p>
    <w:p>
      <w:pPr>
        <w:pStyle w:val="1197"/>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①出现本合同第六条第四款，且情节严重，造成影响的；</w:t>
      </w:r>
      <w:r>
        <w:rPr>
          <w:rFonts w:hint="eastAsia" w:ascii="宋体" w:hAnsi="宋体" w:eastAsia="宋体" w:cs="宋体"/>
          <w:color w:val="000000"/>
          <w:szCs w:val="21"/>
          <w:highlight w:val="none"/>
        </w:rPr>
      </w:r>
      <w:r/>
    </w:p>
    <w:p>
      <w:pPr>
        <w:pStyle w:val="1197"/>
        <w:ind w:firstLine="420"/>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②将承包的作业服务部分或全部转包他人的。</w:t>
      </w:r>
      <w:r>
        <w:rPr>
          <w:rFonts w:hint="eastAsia" w:ascii="宋体" w:hAnsi="宋体" w:eastAsia="宋体" w:cs="宋体"/>
          <w:color w:val="000000"/>
          <w:szCs w:val="21"/>
          <w:highlight w:val="none"/>
        </w:rPr>
      </w:r>
      <w:r/>
    </w:p>
    <w:p>
      <w:pPr>
        <w:pStyle w:val="1197"/>
        <w:keepLines w:val="0"/>
        <w:keepNext w:val="0"/>
        <w:pageBreakBefore w:val="0"/>
        <w:spacing w:line="38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八、履约保证金</w:t>
      </w:r>
      <w:r>
        <w:rPr>
          <w:rFonts w:hint="eastAsia" w:ascii="宋体" w:hAnsi="宋体" w:eastAsia="宋体" w:cs="宋体"/>
          <w:b/>
          <w:bCs/>
          <w:color w:val="000000"/>
          <w:szCs w:val="21"/>
          <w:highlight w:val="none"/>
        </w:rPr>
      </w:r>
      <w:r/>
    </w:p>
    <w:p>
      <w:pPr>
        <w:pStyle w:val="1197"/>
        <w:ind w:firstLine="527"/>
        <w:keepLines w:val="0"/>
        <w:keepNext w:val="0"/>
        <w:pageBreakBefore w:val="0"/>
        <w:spacing w:line="380" w:lineRule="exact"/>
        <w:tabs>
          <w:tab w:val="left" w:pos="360" w:leader="none"/>
        </w:tabs>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1.乙方须在合同签订之日起5日内向甲方提供金额为</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rPr>
        <w:t xml:space="preserve">的履约保证金或保函。 </w:t>
      </w:r>
      <w:r>
        <w:rPr>
          <w:rFonts w:hint="eastAsia" w:ascii="宋体" w:hAnsi="宋体" w:eastAsia="宋体" w:cs="宋体"/>
          <w:b/>
          <w:bCs/>
          <w:color w:val="000000"/>
          <w:szCs w:val="21"/>
          <w:highlight w:val="none"/>
        </w:rPr>
      </w:r>
      <w:r/>
    </w:p>
    <w:p>
      <w:pPr>
        <w:pStyle w:val="1197"/>
        <w:ind w:firstLine="525"/>
        <w:keepLines w:val="0"/>
        <w:keepNext w:val="0"/>
        <w:pageBreakBefore w:val="0"/>
        <w:spacing w:line="380" w:lineRule="exact"/>
        <w:tabs>
          <w:tab w:val="left" w:pos="36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2.履约保证金将项目结束后30日内无息退返乙方。</w:t>
      </w:r>
      <w:r>
        <w:rPr>
          <w:rFonts w:hint="eastAsia" w:ascii="宋体" w:hAnsi="宋体" w:eastAsia="宋体" w:cs="宋体"/>
          <w:color w:val="000000"/>
          <w:szCs w:val="21"/>
          <w:highlight w:val="none"/>
        </w:rPr>
      </w:r>
      <w:r/>
    </w:p>
    <w:p>
      <w:pPr>
        <w:pStyle w:val="1197"/>
        <w:keepLines w:val="0"/>
        <w:keepNext w:val="0"/>
        <w:pageBreakBefore w:val="0"/>
        <w:spacing w:line="38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九、争议解决</w:t>
      </w:r>
      <w:r>
        <w:rPr>
          <w:rFonts w:hint="eastAsia" w:ascii="宋体" w:hAnsi="宋体" w:eastAsia="宋体" w:cs="宋体"/>
          <w:b/>
          <w:bCs/>
          <w:color w:val="000000"/>
          <w:szCs w:val="21"/>
          <w:highlight w:val="none"/>
        </w:rPr>
      </w:r>
      <w:r/>
    </w:p>
    <w:p>
      <w:pPr>
        <w:pStyle w:val="1197"/>
        <w:ind w:firstLine="424"/>
        <w:keepLines w:val="0"/>
        <w:keepNext w:val="0"/>
        <w:pageBreakBefore w:val="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因履行本合同引起的或与本合同有关的争议，甲、乙双方应首先通过友好协商解决，如果协商不能解决争议，提交甲方所在地提起诉讼。</w:t>
      </w:r>
      <w:r>
        <w:rPr>
          <w:rFonts w:hint="eastAsia" w:ascii="宋体" w:hAnsi="宋体" w:eastAsia="宋体" w:cs="宋体"/>
          <w:color w:val="000000"/>
          <w:szCs w:val="21"/>
          <w:highlight w:val="none"/>
        </w:rPr>
      </w:r>
      <w:r/>
    </w:p>
    <w:p>
      <w:pPr>
        <w:pStyle w:val="1197"/>
        <w:numPr>
          <w:ilvl w:val="0"/>
          <w:numId w:val="9"/>
        </w:numPr>
        <w:keepLines w:val="0"/>
        <w:keepNext w:val="0"/>
        <w:pageBreakBefore w:val="0"/>
        <w:spacing w:line="38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其他</w:t>
      </w:r>
      <w:r>
        <w:rPr>
          <w:rFonts w:hint="eastAsia" w:ascii="宋体" w:hAnsi="宋体" w:eastAsia="宋体" w:cs="宋体"/>
          <w:b/>
          <w:bCs/>
          <w:color w:val="000000"/>
          <w:szCs w:val="21"/>
          <w:highlight w:val="none"/>
        </w:rPr>
      </w:r>
      <w:r/>
    </w:p>
    <w:p>
      <w:pPr>
        <w:pStyle w:val="1197"/>
        <w:ind w:firstLine="424"/>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1.本合同一经协商，甲乙双方签字（盖章）且经采购代理机构备案后生效，本合同一式</w:t>
      </w:r>
      <w:r>
        <w:rPr>
          <w:rFonts w:hint="eastAsia" w:ascii="宋体" w:hAnsi="宋体" w:eastAsia="宋体" w:cs="宋体"/>
          <w:b/>
          <w:bCs/>
          <w:szCs w:val="21"/>
          <w:u w:val="single"/>
        </w:rPr>
        <w:t xml:space="preserve">伍</w:t>
      </w:r>
      <w:r>
        <w:rPr>
          <w:rFonts w:hint="eastAsia" w:ascii="宋体" w:hAnsi="宋体" w:eastAsia="宋体" w:cs="宋体"/>
          <w:szCs w:val="21"/>
        </w:rPr>
        <w:t xml:space="preserve">份，甲、乙双方各执</w:t>
      </w:r>
      <w:r>
        <w:rPr>
          <w:rFonts w:hint="eastAsia" w:ascii="宋体" w:hAnsi="宋体" w:eastAsia="宋体" w:cs="宋体"/>
          <w:b/>
          <w:bCs/>
          <w:szCs w:val="21"/>
          <w:u w:val="single"/>
        </w:rPr>
        <w:t xml:space="preserve">贰</w:t>
      </w:r>
      <w:r>
        <w:rPr>
          <w:rFonts w:hint="eastAsia" w:ascii="宋体" w:hAnsi="宋体" w:eastAsia="宋体" w:cs="宋体"/>
          <w:szCs w:val="21"/>
        </w:rPr>
        <w:t xml:space="preserve">份，代理机构</w:t>
      </w:r>
      <w:r>
        <w:rPr>
          <w:rFonts w:hint="eastAsia" w:ascii="宋体" w:hAnsi="宋体" w:eastAsia="宋体" w:cs="宋体"/>
          <w:b/>
          <w:bCs/>
          <w:szCs w:val="21"/>
          <w:u w:val="single"/>
        </w:rPr>
        <w:t xml:space="preserve">壹</w:t>
      </w:r>
      <w:r>
        <w:rPr>
          <w:rFonts w:hint="eastAsia" w:ascii="宋体" w:hAnsi="宋体" w:eastAsia="宋体" w:cs="宋体"/>
          <w:szCs w:val="21"/>
        </w:rPr>
        <w:t xml:space="preserve">份。</w:t>
      </w:r>
      <w:r>
        <w:rPr>
          <w:rFonts w:hint="eastAsia" w:ascii="宋体" w:hAnsi="宋体" w:eastAsia="宋体" w:cs="宋体"/>
          <w:szCs w:val="21"/>
        </w:rPr>
      </w:r>
      <w:r/>
    </w:p>
    <w:p>
      <w:pPr>
        <w:pStyle w:val="1197"/>
        <w:ind w:firstLine="424"/>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2.本合同在执行过程中如出现未尽事宜，双方在不违背合同和投标响应文件的原则下协商解决，协商结果以书面记录在案，并经签名同意，作为本合同的附件，与本合同具有同等效力。</w:t>
      </w:r>
      <w:r>
        <w:rPr>
          <w:rFonts w:hint="eastAsia" w:ascii="宋体" w:hAnsi="宋体" w:eastAsia="宋体" w:cs="宋体"/>
          <w:szCs w:val="21"/>
        </w:rPr>
      </w:r>
      <w:r/>
    </w:p>
    <w:p>
      <w:pPr>
        <w:pStyle w:val="1197"/>
        <w:jc w:val="left"/>
        <w:spacing w:line="360" w:lineRule="auto"/>
        <w:rPr>
          <w:rFonts w:ascii="宋体" w:hAnsi="宋体" w:eastAsia="宋体" w:cs="宋体"/>
          <w:b/>
          <w:bCs/>
          <w:color w:val="000000"/>
          <w:szCs w:val="21"/>
        </w:rPr>
      </w:pPr>
      <w:r>
        <w:rPr>
          <w:rFonts w:ascii="宋体" w:hAnsi="宋体" w:eastAsia="宋体" w:cs="宋体"/>
          <w:b/>
          <w:bCs/>
          <w:color w:val="000000"/>
          <w:szCs w:val="21"/>
        </w:rPr>
      </w:r>
      <w:r/>
    </w:p>
    <w:p>
      <w:pPr>
        <w:pStyle w:val="1197"/>
        <w:jc w:val="left"/>
        <w:spacing w:line="360" w:lineRule="auto"/>
        <w:rPr>
          <w:rFonts w:ascii="宋体" w:hAnsi="宋体" w:eastAsia="宋体" w:cs="宋体"/>
          <w:color w:val="000000"/>
          <w:szCs w:val="21"/>
        </w:rPr>
      </w:pPr>
      <w:r>
        <w:rPr>
          <w:rFonts w:hint="eastAsia" w:ascii="宋体" w:hAnsi="宋体" w:eastAsia="宋体" w:cs="宋体"/>
          <w:b/>
          <w:bCs/>
          <w:color w:val="000000"/>
          <w:szCs w:val="21"/>
        </w:rPr>
        <w:t xml:space="preserve">甲    方</w:t>
      </w:r>
      <w:r>
        <w:rPr>
          <w:rFonts w:hint="eastAsia" w:ascii="宋体" w:hAnsi="宋体" w:eastAsia="宋体" w:cs="宋体"/>
          <w:color w:val="000000"/>
          <w:szCs w:val="21"/>
        </w:rPr>
        <w:t xml:space="preserve">：                                </w:t>
      </w:r>
      <w:r>
        <w:rPr>
          <w:rFonts w:hint="eastAsia" w:ascii="宋体" w:hAnsi="宋体" w:eastAsia="宋体" w:cs="宋体"/>
          <w:b/>
          <w:bCs/>
          <w:color w:val="000000"/>
          <w:szCs w:val="21"/>
        </w:rPr>
        <w:t xml:space="preserve">乙    方</w:t>
      </w:r>
      <w:r>
        <w:rPr>
          <w:rFonts w:hint="eastAsia" w:ascii="宋体" w:hAnsi="宋体" w:eastAsia="宋体" w:cs="宋体"/>
          <w:color w:val="000000"/>
          <w:szCs w:val="21"/>
        </w:rPr>
        <w:t xml:space="preserve">：</w:t>
      </w:r>
      <w:r>
        <w:rPr>
          <w:rFonts w:ascii="宋体" w:hAnsi="宋体" w:eastAsia="宋体" w:cs="宋体"/>
          <w:color w:val="000000"/>
          <w:szCs w:val="21"/>
        </w:rPr>
      </w:r>
      <w:r/>
    </w:p>
    <w:p>
      <w:pPr>
        <w:pStyle w:val="1197"/>
        <w:spacing w:line="360" w:lineRule="auto"/>
        <w:rPr>
          <w:rFonts w:ascii="宋体" w:hAnsi="宋体" w:eastAsia="宋体" w:cs="宋体"/>
          <w:color w:val="000000"/>
          <w:szCs w:val="21"/>
          <w:u w:val="single"/>
        </w:rPr>
      </w:pPr>
      <w:r>
        <w:rPr>
          <w:rFonts w:hint="eastAsia" w:ascii="宋体" w:hAnsi="宋体" w:eastAsia="宋体" w:cs="宋体"/>
          <w:color w:val="000000"/>
          <w:szCs w:val="21"/>
        </w:rPr>
        <w:t xml:space="preserve">单位名称（章）：                          单位名称（章）：</w:t>
      </w:r>
      <w:r>
        <w:rPr>
          <w:rFonts w:ascii="宋体" w:hAnsi="宋体" w:eastAsia="宋体" w:cs="宋体"/>
          <w:color w:val="000000"/>
          <w:szCs w:val="21"/>
          <w:u w:val="single"/>
        </w:rPr>
      </w:r>
      <w:r/>
    </w:p>
    <w:p>
      <w:pPr>
        <w:pStyle w:val="1197"/>
        <w:spacing w:line="360" w:lineRule="auto"/>
        <w:rPr>
          <w:rFonts w:ascii="宋体" w:hAnsi="宋体" w:eastAsia="宋体" w:cs="宋体"/>
          <w:color w:val="000000"/>
          <w:szCs w:val="21"/>
          <w:u w:val="single"/>
        </w:rPr>
      </w:pPr>
      <w:r>
        <w:rPr>
          <w:rFonts w:hint="eastAsia" w:ascii="宋体" w:hAnsi="宋体" w:eastAsia="宋体" w:cs="宋体"/>
          <w:color w:val="000000"/>
          <w:szCs w:val="21"/>
        </w:rPr>
        <w:t xml:space="preserve">单位地址：                                单位地址：</w:t>
      </w:r>
      <w:r>
        <w:rPr>
          <w:rFonts w:ascii="宋体" w:hAnsi="宋体" w:eastAsia="宋体" w:cs="宋体"/>
          <w:color w:val="000000"/>
          <w:szCs w:val="21"/>
          <w:u w:val="single"/>
        </w:rPr>
      </w:r>
      <w:r/>
    </w:p>
    <w:p>
      <w:pPr>
        <w:pStyle w:val="1197"/>
        <w:spacing w:line="360" w:lineRule="auto"/>
        <w:rPr>
          <w:rFonts w:ascii="宋体" w:hAnsi="宋体" w:eastAsia="宋体" w:cs="宋体"/>
          <w:color w:val="000000"/>
          <w:szCs w:val="21"/>
        </w:rPr>
      </w:pPr>
      <w:r>
        <w:rPr>
          <w:rFonts w:hint="eastAsia" w:ascii="宋体" w:hAnsi="宋体" w:eastAsia="宋体" w:cs="宋体"/>
          <w:color w:val="000000"/>
          <w:szCs w:val="21"/>
        </w:rPr>
        <w:t xml:space="preserve">法定代表人：       委托代理人：           法定代表人：     委托代理人：                            </w:t>
      </w:r>
      <w:r>
        <w:rPr>
          <w:rFonts w:ascii="宋体" w:hAnsi="宋体" w:eastAsia="宋体" w:cs="宋体"/>
          <w:color w:val="000000"/>
          <w:szCs w:val="21"/>
        </w:rPr>
      </w:r>
      <w:r/>
    </w:p>
    <w:p>
      <w:pPr>
        <w:pStyle w:val="1197"/>
        <w:spacing w:line="360" w:lineRule="auto"/>
        <w:rPr>
          <w:rFonts w:ascii="宋体" w:hAnsi="宋体" w:eastAsia="宋体" w:cs="宋体"/>
          <w:color w:val="000000"/>
          <w:szCs w:val="21"/>
        </w:rPr>
      </w:pPr>
      <w:r>
        <w:rPr>
          <w:rFonts w:hint="eastAsia" w:ascii="宋体" w:hAnsi="宋体" w:eastAsia="宋体" w:cs="宋体"/>
          <w:color w:val="000000"/>
          <w:szCs w:val="21"/>
        </w:rPr>
        <w:t xml:space="preserve">电话：                                    电话：            传真：</w:t>
      </w:r>
      <w:r>
        <w:rPr>
          <w:rFonts w:ascii="宋体" w:hAnsi="宋体" w:eastAsia="宋体" w:cs="宋体"/>
          <w:color w:val="000000"/>
          <w:szCs w:val="21"/>
        </w:rPr>
      </w:r>
      <w:r/>
    </w:p>
    <w:p>
      <w:pPr>
        <w:pStyle w:val="1197"/>
        <w:jc w:val="left"/>
        <w:spacing w:line="360" w:lineRule="auto"/>
        <w:rPr>
          <w:rFonts w:ascii="宋体" w:hAnsi="宋体" w:eastAsia="宋体" w:cs="宋体"/>
          <w:szCs w:val="21"/>
        </w:rPr>
      </w:pPr>
      <w:r>
        <w:rPr>
          <w:rFonts w:hint="eastAsia" w:ascii="宋体" w:hAnsi="宋体" w:eastAsia="宋体" w:cs="宋体"/>
          <w:color w:val="000000"/>
          <w:szCs w:val="21"/>
        </w:rPr>
        <w:t xml:space="preserve">传真：                                    开户银行：        账号：    </w:t>
      </w:r>
      <w:r>
        <w:rPr>
          <w:rFonts w:ascii="宋体" w:hAnsi="宋体" w:eastAsia="宋体" w:cs="宋体"/>
          <w:szCs w:val="21"/>
        </w:rPr>
      </w:r>
      <w:r/>
    </w:p>
    <w:p>
      <w:pPr>
        <w:pStyle w:val="1197"/>
        <w:ind w:firstLine="420"/>
        <w:jc w:val="left"/>
        <w:spacing w:line="360" w:lineRule="auto"/>
        <w:widowControl/>
        <w:rPr>
          <w:rFonts w:ascii="宋体" w:hAnsi="宋体" w:eastAsia="宋体" w:cs="宋体"/>
          <w:color w:val="000000"/>
          <w:szCs w:val="21"/>
          <w:lang w:bidi="ar"/>
        </w:rPr>
      </w:pPr>
      <w:r>
        <w:rPr>
          <w:rFonts w:ascii="宋体" w:hAnsi="宋体" w:eastAsia="宋体" w:cs="宋体"/>
          <w:color w:val="000000"/>
          <w:szCs w:val="21"/>
          <w:lang w:bidi="ar"/>
        </w:rPr>
      </w:r>
      <w:r/>
    </w:p>
    <w:p>
      <w:pPr>
        <w:pStyle w:val="1197"/>
        <w:ind w:firstLine="420"/>
        <w:jc w:val="left"/>
        <w:spacing w:line="360" w:lineRule="auto"/>
        <w:widowControl/>
        <w:rPr>
          <w:rFonts w:ascii="宋体" w:hAnsi="宋体" w:eastAsia="宋体" w:cs="宋体"/>
          <w:color w:val="000000"/>
          <w:szCs w:val="21"/>
          <w:lang w:bidi="ar"/>
        </w:rPr>
      </w:pPr>
      <w:r>
        <w:rPr>
          <w:rFonts w:ascii="宋体" w:hAnsi="宋体" w:eastAsia="宋体" w:cs="宋体"/>
          <w:color w:val="000000"/>
          <w:szCs w:val="21"/>
          <w:lang w:bidi="ar"/>
        </w:rPr>
      </w:r>
      <w:r/>
    </w:p>
    <w:p>
      <w:pPr>
        <w:pStyle w:val="1197"/>
        <w:ind w:firstLine="420"/>
        <w:jc w:val="left"/>
        <w:spacing w:line="360" w:lineRule="auto"/>
        <w:widowControl/>
        <w:rPr>
          <w:rFonts w:ascii="宋体" w:hAnsi="宋体" w:eastAsia="宋体" w:cs="宋体"/>
          <w:szCs w:val="21"/>
        </w:rPr>
      </w:pPr>
      <w:r>
        <w:rPr>
          <w:rFonts w:hint="eastAsia" w:ascii="宋体" w:hAnsi="宋体" w:eastAsia="宋体" w:cs="宋体"/>
          <w:color w:val="000000"/>
          <w:szCs w:val="21"/>
          <w:lang w:bidi="ar"/>
        </w:rPr>
        <w:t xml:space="preserve">代理机构（章）：</w:t>
      </w:r>
      <w:r>
        <w:rPr>
          <w:rFonts w:hint="eastAsia" w:ascii="宋体" w:hAnsi="宋体" w:eastAsia="宋体" w:cs="宋体"/>
          <w:b/>
          <w:bCs/>
          <w:color w:val="000000"/>
          <w:szCs w:val="21"/>
          <w:u w:val="single"/>
          <w:lang w:bidi="ar"/>
        </w:rPr>
        <w:t xml:space="preserve">常州市阳峻项目管理有限公司 </w:t>
      </w:r>
      <w:r>
        <w:rPr>
          <w:rFonts w:ascii="宋体" w:hAnsi="宋体" w:eastAsia="宋体" w:cs="宋体"/>
          <w:szCs w:val="21"/>
        </w:rPr>
      </w:r>
      <w:r/>
    </w:p>
    <w:p>
      <w:pPr>
        <w:pStyle w:val="1197"/>
        <w:ind w:firstLine="420"/>
        <w:jc w:val="left"/>
        <w:spacing w:line="360" w:lineRule="auto"/>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项目经办人：    </w:t>
      </w:r>
      <w:r>
        <w:rPr>
          <w:rFonts w:ascii="宋体" w:hAnsi="宋体" w:eastAsia="宋体" w:cs="宋体"/>
          <w:color w:val="000000"/>
          <w:szCs w:val="21"/>
          <w:lang w:bidi="ar"/>
        </w:rPr>
      </w:r>
      <w:r/>
    </w:p>
    <w:p>
      <w:pPr>
        <w:pStyle w:val="1197"/>
        <w:ind w:firstLine="420"/>
        <w:jc w:val="left"/>
        <w:spacing w:line="360" w:lineRule="auto"/>
        <w:widowControl/>
        <w:rPr>
          <w:rFonts w:hint="eastAsia"/>
          <w:sz w:val="21"/>
          <w:szCs w:val="21"/>
          <w:highlight w:val="none"/>
        </w:rPr>
      </w:pPr>
      <w:r>
        <w:rPr>
          <w:rFonts w:hint="eastAsia" w:ascii="宋体" w:hAnsi="宋体" w:eastAsia="宋体" w:cs="宋体"/>
          <w:color w:val="000000"/>
          <w:szCs w:val="21"/>
          <w:lang w:bidi="ar"/>
        </w:rPr>
        <w:t xml:space="preserve">日 期：             电 话：</w:t>
      </w:r>
      <w:r>
        <w:rPr>
          <w:rFonts w:hint="eastAsia"/>
          <w:sz w:val="21"/>
          <w:szCs w:val="21"/>
          <w:highlight w:val="none"/>
        </w:rPr>
      </w:r>
      <w:r/>
    </w:p>
    <w:p>
      <w:pPr>
        <w:pStyle w:val="1197"/>
        <w:ind w:firstLine="422"/>
        <w:spacing w:line="400" w:lineRule="exact"/>
        <w:rPr>
          <w:rFonts w:hint="eastAsia" w:ascii="宋体" w:hAnsi="宋体" w:cs="宋体"/>
          <w:b/>
          <w:szCs w:val="21"/>
          <w:highlight w:val="none"/>
        </w:rPr>
      </w:pPr>
      <w:r>
        <w:rPr>
          <w:rFonts w:hint="eastAsia" w:ascii="宋体" w:hAnsi="宋体" w:cs="宋体"/>
          <w:b/>
          <w:bCs/>
          <w:szCs w:val="21"/>
          <w:highlight w:val="none"/>
        </w:rPr>
        <w:t xml:space="preserve">注：</w:t>
      </w:r>
      <w:r>
        <w:rPr>
          <w:rFonts w:hint="eastAsia" w:ascii="宋体" w:hAnsi="宋体" w:cs="宋体"/>
          <w:b/>
          <w:szCs w:val="21"/>
          <w:highlight w:val="none"/>
        </w:rPr>
        <w:t xml:space="preserve">以上是合同的简易模版，仅供甲乙双方签订合同时参考，具体条款详见磋商文件中所对应的内容及要求，其余条款按照《中华人民共和国政府采购法》、《中华人民共和国民法典》、其他有关法律、行政法规以及省、市、区规范性文件规定，由甲乙双方协商一致后自拟合同。</w:t>
      </w:r>
      <w:r>
        <w:rPr>
          <w:rFonts w:hint="eastAsia" w:ascii="宋体" w:hAnsi="宋体" w:cs="宋体"/>
          <w:b/>
          <w:szCs w:val="21"/>
          <w:highlight w:val="none"/>
        </w:rPr>
      </w:r>
      <w:r/>
    </w:p>
    <w:p>
      <w:pPr>
        <w:pStyle w:val="1197"/>
        <w:jc w:val="center"/>
        <w:rPr>
          <w:rFonts w:hint="eastAsia" w:ascii="宋体" w:hAnsi="宋体" w:cs="宋体"/>
          <w:b/>
          <w:szCs w:val="21"/>
          <w:highlight w:val="none"/>
        </w:rPr>
      </w:pPr>
      <w:r>
        <w:rPr>
          <w:rFonts w:hint="eastAsia" w:ascii="宋体" w:hAnsi="宋体" w:cs="宋体"/>
          <w:b/>
          <w:szCs w:val="21"/>
          <w:highlight w:val="none"/>
        </w:rPr>
      </w:r>
      <w:r/>
    </w:p>
    <w:p>
      <w:pPr>
        <w:pStyle w:val="1197"/>
        <w:jc w:val="center"/>
        <w:spacing w:line="360" w:lineRule="auto"/>
        <w:rPr>
          <w:rFonts w:ascii="宋体" w:hAnsi="宋体" w:eastAsia="宋体" w:cs="方正小标宋_GBK"/>
          <w:b/>
          <w:bCs/>
          <w:color w:val="000000"/>
          <w:sz w:val="40"/>
          <w:szCs w:val="40"/>
        </w:rPr>
      </w:pPr>
      <w:r>
        <w:rPr>
          <w:rFonts w:hint="eastAsia" w:ascii="宋体" w:hAnsi="宋体" w:eastAsia="宋体" w:cs="宋体"/>
          <w:b/>
          <w:sz w:val="32"/>
          <w:szCs w:val="32"/>
        </w:rPr>
        <w:br w:type="page" w:clear="all"/>
      </w:r>
      <w:r>
        <w:rPr>
          <w:rFonts w:hint="eastAsia" w:ascii="宋体" w:hAnsi="宋体" w:eastAsia="宋体" w:cs="方正小标宋_GBK"/>
          <w:b/>
          <w:bCs/>
          <w:color w:val="000000"/>
          <w:sz w:val="30"/>
          <w:szCs w:val="30"/>
        </w:rPr>
        <w:t xml:space="preserve">廉 政 责 任 书</w:t>
      </w:r>
      <w:r>
        <w:rPr>
          <w:rFonts w:ascii="宋体" w:hAnsi="宋体" w:eastAsia="宋体" w:cs="方正小标宋_GBK"/>
          <w:b/>
          <w:bCs/>
          <w:color w:val="000000"/>
          <w:sz w:val="40"/>
          <w:szCs w:val="40"/>
        </w:rPr>
      </w:r>
      <w:r/>
    </w:p>
    <w:p>
      <w:pPr>
        <w:pStyle w:val="1197"/>
        <w:ind w:firstLine="420"/>
        <w:spacing w:line="400" w:lineRule="exact"/>
        <w:rPr>
          <w:rFonts w:ascii="宋体" w:hAnsi="宋体" w:eastAsia="宋体" w:cs="宋体"/>
          <w:color w:val="000000"/>
          <w:szCs w:val="21"/>
        </w:rPr>
      </w:pPr>
      <w:r>
        <w:rPr>
          <w:rFonts w:ascii="宋体" w:hAnsi="宋体" w:eastAsia="宋体" w:cs="宋体"/>
          <w:color w:val="000000"/>
          <w:szCs w:val="21"/>
        </w:rPr>
      </w:r>
      <w:r/>
    </w:p>
    <w:p>
      <w:pPr>
        <w:pStyle w:val="1197"/>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为进一步加强零星工程的廉政建设，特订立如下责任书。</w:t>
      </w:r>
      <w:r>
        <w:rPr>
          <w:rFonts w:ascii="宋体" w:hAnsi="宋体" w:eastAsia="宋体" w:cs="宋体"/>
          <w:color w:val="000000"/>
          <w:szCs w:val="21"/>
        </w:rPr>
      </w:r>
      <w:r/>
    </w:p>
    <w:p>
      <w:pPr>
        <w:pStyle w:val="1197"/>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一、甲、乙双方的权利和义务</w:t>
      </w:r>
      <w:r>
        <w:rPr>
          <w:rFonts w:ascii="宋体" w:hAnsi="宋体" w:eastAsia="宋体" w:cs="宋体"/>
          <w:color w:val="000000"/>
          <w:szCs w:val="21"/>
        </w:rPr>
      </w:r>
      <w:r/>
    </w:p>
    <w:p>
      <w:pPr>
        <w:pStyle w:val="1197"/>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1.甲乙双方应严格遵守党的政策规定和国有关法律法规。</w:t>
      </w:r>
      <w:r>
        <w:rPr>
          <w:rFonts w:ascii="宋体" w:hAnsi="宋体" w:eastAsia="宋体" w:cs="宋体"/>
          <w:color w:val="000000"/>
          <w:szCs w:val="21"/>
        </w:rPr>
      </w:r>
      <w:r/>
    </w:p>
    <w:p>
      <w:pPr>
        <w:pStyle w:val="1197"/>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2. 甲乙双方应严格执行项目的合同文件，自觉按合同办事。</w:t>
      </w:r>
      <w:r>
        <w:rPr>
          <w:rFonts w:ascii="宋体" w:hAnsi="宋体" w:eastAsia="宋体" w:cs="宋体"/>
          <w:color w:val="000000"/>
          <w:szCs w:val="21"/>
        </w:rPr>
      </w:r>
      <w:r/>
    </w:p>
    <w:p>
      <w:pPr>
        <w:pStyle w:val="1197"/>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3. 甲乙双方的业务活动应坚持公开、公平、公正、诚信、透明的原则。</w:t>
      </w:r>
      <w:r>
        <w:rPr>
          <w:rFonts w:ascii="宋体" w:hAnsi="宋体" w:eastAsia="宋体" w:cs="宋体"/>
          <w:color w:val="000000"/>
          <w:szCs w:val="21"/>
        </w:rPr>
      </w:r>
      <w:r/>
    </w:p>
    <w:p>
      <w:pPr>
        <w:pStyle w:val="1197"/>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4. 甲乙双方不得以任何理由向对方工作人员行贿或馈赠礼金、有价证券、贵重礼品。不得在对方报销任何由个人支付的费用。</w:t>
      </w:r>
      <w:r>
        <w:rPr>
          <w:rFonts w:ascii="宋体" w:hAnsi="宋体" w:eastAsia="宋体" w:cs="宋体"/>
          <w:color w:val="000000"/>
          <w:szCs w:val="21"/>
        </w:rPr>
      </w:r>
      <w:r/>
    </w:p>
    <w:p>
      <w:pPr>
        <w:pStyle w:val="1197"/>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5. 甲乙双方不得以任何理由违反廉洁自律的有关规定。</w:t>
      </w:r>
      <w:r>
        <w:rPr>
          <w:rFonts w:ascii="宋体" w:hAnsi="宋体" w:eastAsia="宋体" w:cs="宋体"/>
          <w:color w:val="000000"/>
          <w:szCs w:val="21"/>
        </w:rPr>
      </w:r>
      <w:r/>
    </w:p>
    <w:p>
      <w:pPr>
        <w:pStyle w:val="1197"/>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6. 甲乙双方发现对方严重违反本协议条款的行为，有及时提醒对方、向其上级有关部门举报、建议给予处理并要求告知处理结果的权利。</w:t>
      </w:r>
      <w:r>
        <w:rPr>
          <w:rFonts w:ascii="宋体" w:hAnsi="宋体" w:eastAsia="宋体" w:cs="宋体"/>
          <w:color w:val="000000"/>
          <w:szCs w:val="21"/>
        </w:rPr>
      </w:r>
      <w:r/>
    </w:p>
    <w:p>
      <w:pPr>
        <w:pStyle w:val="1197"/>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二、违约责任</w:t>
      </w:r>
      <w:r>
        <w:rPr>
          <w:rFonts w:hint="eastAsia" w:ascii="宋体" w:hAnsi="宋体" w:eastAsia="宋体" w:cs="宋体"/>
          <w:color w:val="000000"/>
          <w:szCs w:val="21"/>
        </w:rPr>
      </w:r>
      <w:r/>
    </w:p>
    <w:p>
      <w:pPr>
        <w:pStyle w:val="1197"/>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1. 甲、乙双方及其工作人员违反本协议有关规定的，按管理权限，依据有关规定给予经济处罚或追究党纪政纪责任；涉嫌犯罪的，移交司法机关追究刑事责任；给双方单位造成经济损失的，应予以赔偿。</w:t>
      </w:r>
      <w:r>
        <w:rPr>
          <w:rFonts w:ascii="宋体" w:hAnsi="宋体" w:eastAsia="宋体" w:cs="宋体"/>
          <w:color w:val="000000"/>
          <w:szCs w:val="21"/>
        </w:rPr>
      </w:r>
      <w:r/>
    </w:p>
    <w:p>
      <w:pPr>
        <w:pStyle w:val="1197"/>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2. 本协议一式三份，由甲、乙双方各执一份，送交甲方的监督单位一份。</w:t>
      </w:r>
      <w:r>
        <w:rPr>
          <w:rFonts w:ascii="宋体" w:hAnsi="宋体" w:eastAsia="宋体" w:cs="宋体"/>
          <w:color w:val="000000"/>
          <w:szCs w:val="21"/>
        </w:rPr>
      </w:r>
      <w:r/>
    </w:p>
    <w:p>
      <w:pPr>
        <w:pStyle w:val="1197"/>
        <w:spacing w:line="360" w:lineRule="exact"/>
        <w:rPr>
          <w:rFonts w:ascii="宋体" w:hAnsi="宋体" w:eastAsia="宋体" w:cs="宋体"/>
          <w:color w:val="000000"/>
          <w:szCs w:val="21"/>
        </w:rPr>
      </w:pPr>
      <w:r>
        <w:rPr>
          <w:rFonts w:ascii="宋体" w:hAnsi="宋体" w:eastAsia="宋体" w:cs="宋体"/>
          <w:color w:val="000000"/>
          <w:szCs w:val="21"/>
        </w:rPr>
      </w:r>
      <w:r/>
    </w:p>
    <w:p>
      <w:pPr>
        <w:pStyle w:val="1197"/>
        <w:ind w:firstLine="367"/>
        <w:spacing w:line="500" w:lineRule="exact"/>
        <w:rPr>
          <w:rFonts w:ascii="宋体" w:hAnsi="宋体" w:eastAsia="宋体" w:cs="宋体"/>
          <w:color w:val="000000"/>
          <w:szCs w:val="21"/>
        </w:rPr>
      </w:pPr>
      <w:r>
        <w:rPr>
          <w:rFonts w:hint="eastAsia" w:ascii="宋体" w:hAnsi="宋体" w:eastAsia="宋体" w:cs="宋体"/>
          <w:color w:val="000000"/>
          <w:szCs w:val="21"/>
        </w:rPr>
        <w:t xml:space="preserve">项目名称：</w:t>
      </w:r>
      <w:r>
        <w:rPr>
          <w:rFonts w:ascii="宋体" w:hAnsi="宋体" w:eastAsia="宋体" w:cs="宋体"/>
          <w:color w:val="000000"/>
          <w:szCs w:val="21"/>
        </w:rPr>
      </w:r>
      <w:r/>
    </w:p>
    <w:p>
      <w:pPr>
        <w:pStyle w:val="1197"/>
        <w:ind w:firstLine="367"/>
        <w:spacing w:line="500" w:lineRule="exact"/>
        <w:rPr>
          <w:rFonts w:ascii="宋体" w:hAnsi="宋体" w:eastAsia="宋体" w:cs="宋体"/>
          <w:color w:val="000000"/>
          <w:szCs w:val="21"/>
        </w:rPr>
      </w:pPr>
      <w:r>
        <w:rPr>
          <w:rFonts w:hint="eastAsia" w:ascii="宋体" w:hAnsi="宋体" w:eastAsia="宋体" w:cs="宋体"/>
          <w:color w:val="000000"/>
          <w:szCs w:val="21"/>
        </w:rPr>
        <w:t xml:space="preserve">甲方单位（盖章）：                     乙方单位（盖章）：</w:t>
      </w:r>
      <w:r>
        <w:rPr>
          <w:rFonts w:ascii="宋体" w:hAnsi="宋体" w:eastAsia="宋体" w:cs="宋体"/>
          <w:color w:val="000000"/>
          <w:szCs w:val="21"/>
        </w:rPr>
      </w:r>
      <w:r/>
    </w:p>
    <w:p>
      <w:pPr>
        <w:pStyle w:val="1197"/>
        <w:ind w:firstLine="367"/>
        <w:spacing w:line="500" w:lineRule="exact"/>
        <w:rPr>
          <w:rFonts w:ascii="宋体" w:hAnsi="宋体" w:eastAsia="宋体" w:cs="宋体"/>
          <w:color w:val="000000"/>
          <w:szCs w:val="21"/>
        </w:rPr>
      </w:pPr>
      <w:r>
        <w:rPr>
          <w:rFonts w:hint="eastAsia" w:ascii="宋体" w:hAnsi="宋体" w:eastAsia="宋体" w:cs="宋体"/>
          <w:color w:val="000000"/>
          <w:szCs w:val="21"/>
        </w:rPr>
        <w:t xml:space="preserve">法定代表人：                           法定代表人：</w:t>
      </w:r>
      <w:r>
        <w:rPr>
          <w:rFonts w:ascii="宋体" w:hAnsi="宋体" w:eastAsia="宋体" w:cs="宋体"/>
          <w:color w:val="000000"/>
          <w:szCs w:val="21"/>
        </w:rPr>
      </w:r>
      <w:r/>
    </w:p>
    <w:p>
      <w:pPr>
        <w:pStyle w:val="1197"/>
        <w:ind w:firstLine="367"/>
        <w:spacing w:line="500" w:lineRule="exact"/>
        <w:rPr>
          <w:rFonts w:ascii="宋体" w:hAnsi="宋体" w:eastAsia="宋体" w:cs="宋体"/>
          <w:color w:val="000000"/>
          <w:szCs w:val="21"/>
        </w:rPr>
      </w:pPr>
      <w:r>
        <w:rPr>
          <w:rFonts w:hint="eastAsia" w:ascii="宋体" w:hAnsi="宋体" w:eastAsia="宋体" w:cs="宋体"/>
          <w:color w:val="000000"/>
          <w:szCs w:val="21"/>
        </w:rPr>
        <w:t xml:space="preserve">委托代理人：                           委托代理人：</w:t>
      </w:r>
      <w:r>
        <w:rPr>
          <w:rFonts w:ascii="宋体" w:hAnsi="宋体" w:eastAsia="宋体" w:cs="宋体"/>
          <w:color w:val="000000"/>
          <w:szCs w:val="21"/>
        </w:rPr>
      </w:r>
      <w:r/>
    </w:p>
    <w:p>
      <w:pPr>
        <w:pStyle w:val="1197"/>
        <w:ind w:firstLine="367"/>
        <w:spacing w:line="500" w:lineRule="exact"/>
        <w:rPr>
          <w:rFonts w:ascii="宋体" w:hAnsi="宋体" w:eastAsia="宋体" w:cs="宋体"/>
          <w:color w:val="000000"/>
          <w:szCs w:val="21"/>
        </w:rPr>
      </w:pPr>
      <w:r>
        <w:rPr>
          <w:rFonts w:hint="eastAsia" w:ascii="宋体" w:hAnsi="宋体" w:eastAsia="宋体" w:cs="宋体"/>
          <w:color w:val="000000"/>
          <w:szCs w:val="21"/>
        </w:rPr>
        <w:t xml:space="preserve">日期：</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日                   </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日期：</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日</w:t>
      </w:r>
      <w:r>
        <w:rPr>
          <w:rFonts w:ascii="宋体" w:hAnsi="宋体" w:eastAsia="宋体" w:cs="宋体"/>
          <w:color w:val="000000"/>
          <w:szCs w:val="21"/>
        </w:rPr>
      </w:r>
      <w:r/>
    </w:p>
    <w:p>
      <w:pPr>
        <w:pStyle w:val="1197"/>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197"/>
        <w:jc w:val="center"/>
        <w:spacing w:line="360" w:lineRule="auto"/>
        <w:rPr>
          <w:b/>
          <w:sz w:val="24"/>
          <w:highlight w:val="none"/>
        </w:rPr>
        <w:outlineLvl w:val="0"/>
      </w:pPr>
      <w:r>
        <w:rPr>
          <w:b/>
          <w:color w:val="000000"/>
          <w:sz w:val="32"/>
          <w:szCs w:val="32"/>
          <w:highlight w:val="none"/>
        </w:rPr>
        <w:br w:type="page" w:clear="all"/>
      </w:r>
      <w:r>
        <w:rPr>
          <w:b/>
          <w:sz w:val="32"/>
          <w:szCs w:val="32"/>
          <w:highlight w:val="none"/>
        </w:rPr>
        <w:t xml:space="preserve">第六章   响应文件格式</w:t>
      </w:r>
      <w:bookmarkEnd w:id="674"/>
      <w:r>
        <w:rPr>
          <w:b/>
          <w:sz w:val="24"/>
          <w:highlight w:val="none"/>
        </w:rPr>
      </w:r>
      <w:r/>
    </w:p>
    <w:p>
      <w:pPr>
        <w:pStyle w:val="1197"/>
        <w:spacing w:line="360" w:lineRule="auto"/>
        <w:tabs>
          <w:tab w:val="left" w:pos="900" w:leader="none"/>
          <w:tab w:val="left" w:pos="19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供应商编制文件须知</w:t>
      </w:r>
      <w:r>
        <w:rPr>
          <w:rFonts w:hint="eastAsia" w:ascii="宋体" w:hAnsi="宋体" w:eastAsia="宋体" w:cs="宋体"/>
          <w:b/>
          <w:sz w:val="21"/>
          <w:szCs w:val="21"/>
          <w:highlight w:val="none"/>
        </w:rPr>
      </w:r>
      <w:r/>
    </w:p>
    <w:p>
      <w:pPr>
        <w:pStyle w:val="1197"/>
        <w:numPr>
          <w:ilvl w:val="0"/>
          <w:numId w:val="10"/>
        </w:numPr>
        <w:ind w:firstLine="420"/>
        <w:spacing w:line="360" w:lineRule="auto"/>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供应商按照本部分的顺序编制响应文件，编制中涉及格式资料的，应按照本部分提供的内容和格式（所有表格的格式可扩展）填写提交。</w:t>
      </w:r>
      <w:r>
        <w:rPr>
          <w:rFonts w:hint="eastAsia" w:ascii="宋体" w:hAnsi="宋体" w:eastAsia="宋体" w:cs="宋体"/>
          <w:sz w:val="21"/>
          <w:szCs w:val="21"/>
          <w:highlight w:val="none"/>
        </w:rPr>
      </w:r>
      <w:r/>
    </w:p>
    <w:p>
      <w:pPr>
        <w:pStyle w:val="1197"/>
        <w:numPr>
          <w:ilvl w:val="0"/>
          <w:numId w:val="10"/>
        </w:numPr>
        <w:ind w:left="0" w:firstLine="422"/>
        <w:spacing w:line="360" w:lineRule="auto"/>
        <w:tabs>
          <w:tab w:val="left" w:pos="900" w:leader="none"/>
          <w:tab w:val="left" w:pos="19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对于竞争性磋商文件中标记了“实质性格式”文件的，供应商</w:t>
      </w:r>
      <w:r>
        <w:rPr>
          <w:rFonts w:hint="eastAsia" w:ascii="宋体" w:hAnsi="宋体" w:eastAsia="宋体" w:cs="宋体"/>
          <w:b/>
          <w:bCs/>
          <w:sz w:val="21"/>
          <w:szCs w:val="21"/>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sz w:val="21"/>
          <w:szCs w:val="21"/>
          <w:highlight w:val="none"/>
        </w:rPr>
        <w:t xml:space="preserve">否则响应无效。未标记“实质性格式”的文件和竞争性磋商文件未提供格式的内容，可由供应商自行编写。</w:t>
      </w:r>
      <w:r>
        <w:rPr>
          <w:rFonts w:hint="eastAsia" w:ascii="宋体" w:hAnsi="宋体" w:eastAsia="宋体" w:cs="宋体"/>
          <w:b/>
          <w:bCs/>
          <w:sz w:val="21"/>
          <w:szCs w:val="21"/>
          <w:highlight w:val="none"/>
        </w:rPr>
      </w:r>
      <w:r/>
    </w:p>
    <w:p>
      <w:pPr>
        <w:pStyle w:val="1197"/>
        <w:numPr>
          <w:ilvl w:val="0"/>
          <w:numId w:val="10"/>
        </w:numPr>
        <w:ind w:firstLine="420"/>
        <w:spacing w:line="360" w:lineRule="auto"/>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全部声明和问题的回答及所附材料必须是真实的、准确</w:t>
      </w:r>
      <w:r>
        <w:rPr>
          <w:rFonts w:hint="eastAsia" w:ascii="宋体" w:hAnsi="宋体" w:eastAsia="宋体" w:cs="宋体"/>
          <w:sz w:val="21"/>
          <w:szCs w:val="21"/>
          <w:highlight w:val="none"/>
        </w:rPr>
        <w:t xml:space="preserve">的和完整的。</w:t>
      </w:r>
      <w:r>
        <w:rPr>
          <w:rFonts w:hint="eastAsia" w:ascii="宋体" w:hAnsi="宋体" w:eastAsia="宋体" w:cs="宋体"/>
          <w:sz w:val="21"/>
          <w:szCs w:val="21"/>
          <w:highlight w:val="none"/>
        </w:rPr>
      </w:r>
      <w:r/>
    </w:p>
    <w:p>
      <w:pPr>
        <w:pStyle w:val="1197"/>
        <w:numPr>
          <w:ilvl w:val="0"/>
          <w:numId w:val="10"/>
        </w:numPr>
        <w:ind w:firstLine="422"/>
        <w:spacing w:line="360" w:lineRule="auto"/>
        <w:tabs>
          <w:tab w:val="left" w:pos="900" w:leader="none"/>
          <w:tab w:val="left" w:pos="19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实行电子化不见面交易方式的，加盖公章、签名等均通过响应文件编制工具加盖电子公章、签字、签章或印鉴。</w:t>
      </w:r>
      <w:r>
        <w:rPr>
          <w:rFonts w:hint="eastAsia" w:ascii="宋体" w:hAnsi="宋体" w:eastAsia="宋体" w:cs="宋体"/>
          <w:b/>
          <w:bCs/>
          <w:sz w:val="21"/>
          <w:szCs w:val="21"/>
          <w:highlight w:val="none"/>
        </w:rPr>
      </w:r>
      <w:r/>
    </w:p>
    <w:p>
      <w:pPr>
        <w:pStyle w:val="1197"/>
        <w:jc w:val="left"/>
        <w:widowControl/>
        <w:rPr>
          <w:b/>
          <w:sz w:val="21"/>
          <w:szCs w:val="21"/>
          <w:highlight w:val="none"/>
        </w:rPr>
      </w:pPr>
      <w:r>
        <w:rPr>
          <w:sz w:val="24"/>
          <w:highlight w:val="none"/>
        </w:rPr>
        <w:br w:type="page" w:clear="all"/>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spacing w:val="20"/>
          <w:sz w:val="28"/>
          <w:szCs w:val="28"/>
          <w:highlight w:val="none"/>
        </w:rPr>
        <w:t xml:space="preserve">响应文件</w:t>
      </w:r>
      <w:r>
        <w:rPr>
          <w:b/>
          <w:sz w:val="28"/>
          <w:szCs w:val="28"/>
          <w:highlight w:val="none"/>
        </w:rPr>
        <w:t xml:space="preserve">封面（非实质性格式）</w:t>
      </w:r>
      <w:r>
        <w:rPr>
          <w:b/>
          <w:sz w:val="21"/>
          <w:szCs w:val="21"/>
          <w:highlight w:val="none"/>
        </w:rPr>
      </w:r>
      <w:r/>
    </w:p>
    <w:p>
      <w:pPr>
        <w:pStyle w:val="1197"/>
        <w:jc w:val="center"/>
        <w:rPr>
          <w:szCs w:val="21"/>
          <w:highlight w:val="none"/>
        </w:rPr>
      </w:pPr>
      <w:r>
        <w:rPr>
          <w:szCs w:val="21"/>
          <w:highlight w:val="none"/>
        </w:rPr>
      </w:r>
      <w:r/>
    </w:p>
    <w:p>
      <w:pPr>
        <w:pStyle w:val="1197"/>
        <w:jc w:val="center"/>
        <w:rPr>
          <w:b/>
          <w:spacing w:val="60"/>
          <w:sz w:val="84"/>
          <w:szCs w:val="84"/>
          <w:highlight w:val="none"/>
        </w:rPr>
      </w:pPr>
      <w:r>
        <w:rPr>
          <w:b/>
          <w:spacing w:val="60"/>
          <w:sz w:val="84"/>
          <w:szCs w:val="84"/>
          <w:highlight w:val="none"/>
        </w:rPr>
      </w:r>
      <w:r/>
    </w:p>
    <w:p>
      <w:pPr>
        <w:pStyle w:val="1197"/>
        <w:jc w:val="center"/>
        <w:rPr>
          <w:b/>
          <w:spacing w:val="60"/>
          <w:sz w:val="84"/>
          <w:szCs w:val="84"/>
          <w:highlight w:val="none"/>
        </w:rPr>
      </w:pPr>
      <w:r>
        <w:rPr>
          <w:b/>
          <w:spacing w:val="60"/>
          <w:sz w:val="84"/>
          <w:szCs w:val="84"/>
          <w:highlight w:val="none"/>
        </w:rPr>
      </w:r>
      <w:r/>
    </w:p>
    <w:p>
      <w:pPr>
        <w:pStyle w:val="1197"/>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1197"/>
        <w:jc w:val="center"/>
        <w:rPr>
          <w:b/>
          <w:spacing w:val="60"/>
          <w:sz w:val="52"/>
          <w:szCs w:val="52"/>
          <w:highlight w:val="none"/>
        </w:rPr>
      </w:pPr>
      <w:r>
        <w:rPr>
          <w:b/>
          <w:spacing w:val="60"/>
          <w:sz w:val="52"/>
          <w:szCs w:val="52"/>
          <w:highlight w:val="none"/>
        </w:rPr>
      </w:r>
      <w:r/>
    </w:p>
    <w:p>
      <w:pPr>
        <w:pStyle w:val="1197"/>
        <w:ind w:firstLine="542"/>
        <w:rPr>
          <w:b/>
          <w:spacing w:val="20"/>
          <w:sz w:val="32"/>
          <w:szCs w:val="32"/>
          <w:highlight w:val="none"/>
        </w:rPr>
      </w:pPr>
      <w:r>
        <w:rPr>
          <w:b/>
          <w:spacing w:val="20"/>
          <w:sz w:val="32"/>
          <w:szCs w:val="32"/>
          <w:highlight w:val="none"/>
        </w:rPr>
      </w:r>
      <w:r/>
    </w:p>
    <w:p>
      <w:pPr>
        <w:pStyle w:val="1199"/>
        <w:rPr>
          <w:b w:val="0"/>
          <w:spacing w:val="20"/>
          <w:sz w:val="32"/>
          <w:szCs w:val="32"/>
          <w:highlight w:val="none"/>
        </w:rPr>
      </w:pPr>
      <w:r>
        <w:rPr>
          <w:b w:val="0"/>
          <w:spacing w:val="20"/>
          <w:sz w:val="32"/>
          <w:szCs w:val="32"/>
          <w:highlight w:val="none"/>
        </w:rPr>
      </w:r>
      <w:r/>
    </w:p>
    <w:p>
      <w:pPr>
        <w:pStyle w:val="1197"/>
        <w:rPr>
          <w:b/>
          <w:spacing w:val="20"/>
          <w:sz w:val="32"/>
          <w:szCs w:val="32"/>
          <w:highlight w:val="none"/>
        </w:rPr>
      </w:pPr>
      <w:r>
        <w:rPr>
          <w:b/>
          <w:spacing w:val="20"/>
          <w:sz w:val="32"/>
          <w:szCs w:val="32"/>
          <w:highlight w:val="none"/>
        </w:rPr>
      </w:r>
      <w:r/>
    </w:p>
    <w:p>
      <w:pPr>
        <w:pStyle w:val="1199"/>
        <w:rPr>
          <w:highlight w:val="none"/>
        </w:rPr>
      </w:pPr>
      <w:r>
        <w:rPr>
          <w:highlight w:val="none"/>
        </w:rPr>
      </w:r>
      <w:r/>
    </w:p>
    <w:p>
      <w:pPr>
        <w:pStyle w:val="1197"/>
        <w:ind w:firstLine="542"/>
        <w:rPr>
          <w:b/>
          <w:spacing w:val="20"/>
          <w:sz w:val="32"/>
          <w:szCs w:val="32"/>
          <w:highlight w:val="none"/>
        </w:rPr>
      </w:pPr>
      <w:r>
        <w:rPr>
          <w:b/>
          <w:spacing w:val="20"/>
          <w:sz w:val="32"/>
          <w:szCs w:val="32"/>
          <w:highlight w:val="none"/>
        </w:rPr>
      </w:r>
      <w:r/>
    </w:p>
    <w:p>
      <w:pPr>
        <w:pStyle w:val="1197"/>
        <w:ind w:firstLine="1084"/>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197"/>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197"/>
        <w:spacing w:line="360" w:lineRule="auto"/>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1197"/>
        <w:spacing w:line="360" w:lineRule="auto"/>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197"/>
        <w:jc w:val="center"/>
        <w:rPr>
          <w:b/>
          <w:sz w:val="32"/>
          <w:szCs w:val="32"/>
          <w:highlight w:val="none"/>
        </w:rPr>
      </w:pPr>
      <w:r>
        <w:rPr>
          <w:b/>
          <w:sz w:val="32"/>
          <w:szCs w:val="32"/>
          <w:highlight w:val="none"/>
        </w:rPr>
      </w:r>
      <w:r/>
    </w:p>
    <w:p>
      <w:pPr>
        <w:pStyle w:val="1197"/>
        <w:rPr>
          <w:b/>
          <w:highlight w:val="none"/>
        </w:rPr>
      </w:pPr>
      <w:r>
        <w:rPr>
          <w:b/>
          <w:spacing w:val="20"/>
          <w:sz w:val="32"/>
          <w:szCs w:val="32"/>
          <w:highlight w:val="none"/>
        </w:rPr>
        <w:br w:type="page" w:clear="all"/>
      </w:r>
      <w:r>
        <w:rPr>
          <w:b/>
          <w:highlight w:val="none"/>
        </w:rPr>
      </w:r>
      <w:r/>
    </w:p>
    <w:p>
      <w:pPr>
        <w:pStyle w:val="1197"/>
        <w:spacing w:line="24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highlight w:val="none"/>
        </w:rPr>
        <w:t xml:space="preserve">满足《中华人民共和国政府采购法》第二十二条规定及法律法规的其他规定</w:t>
      </w:r>
      <w:r>
        <w:rPr>
          <w:rFonts w:hint="eastAsia" w:ascii="宋体" w:hAnsi="宋体" w:eastAsia="宋体" w:cs="宋体"/>
          <w:color w:val="000000"/>
          <w:sz w:val="21"/>
          <w:szCs w:val="21"/>
          <w:highlight w:val="none"/>
        </w:rPr>
      </w:r>
      <w:r/>
    </w:p>
    <w:p>
      <w:pPr>
        <w:pStyle w:val="1200"/>
        <w:spacing w:line="240" w:lineRule="auto"/>
        <w:rPr>
          <w:rFonts w:ascii="宋体" w:hAnsi="宋体" w:eastAsia="宋体" w:cs="宋体"/>
          <w:b w:val="0"/>
          <w:color w:val="000000"/>
          <w:sz w:val="21"/>
          <w:szCs w:val="21"/>
          <w:highlight w:val="none"/>
          <w:u w:val="none"/>
          <w:lang w:val="en-US" w:eastAsia="zh-CN"/>
        </w:rPr>
      </w:pPr>
      <w:r>
        <w:rPr>
          <w:rFonts w:hint="eastAsia" w:hAnsi="宋体" w:eastAsia="宋体" w:cs="宋体"/>
          <w:b w:val="0"/>
          <w:color w:val="000000"/>
          <w:sz w:val="21"/>
          <w:szCs w:val="21"/>
          <w:highlight w:val="none"/>
          <w:u w:val="none"/>
          <w:lang w:val="en-US" w:eastAsia="zh-CN"/>
        </w:rPr>
        <w:t xml:space="preserve">1-1 </w:t>
      </w:r>
      <w:r>
        <w:rPr>
          <w:rFonts w:hint="eastAsia" w:hAnsi="宋体" w:eastAsia="宋体" w:cs="宋体"/>
          <w:b w:val="0"/>
          <w:color w:val="000000"/>
          <w:sz w:val="21"/>
          <w:szCs w:val="21"/>
          <w:highlight w:val="none"/>
          <w:u w:val="none"/>
          <w:lang w:val="en-US" w:eastAsia="zh-CN"/>
        </w:rPr>
        <w:t xml:space="preserve">供应商营业执照：</w:t>
      </w:r>
      <w:r>
        <w:rPr>
          <w:rFonts w:hint="eastAsia" w:ascii="宋体" w:hAnsi="宋体" w:eastAsia="宋体" w:cs="宋体"/>
          <w:b w:val="0"/>
          <w:color w:val="000000"/>
          <w:sz w:val="21"/>
          <w:szCs w:val="21"/>
          <w:highlight w:val="none"/>
          <w:u w:val="none"/>
        </w:rPr>
        <w:t xml:space="preserve">有效的法人或者其他组织的营业执照等证明文件</w:t>
      </w:r>
      <w:r>
        <w:rPr>
          <w:rFonts w:ascii="宋体" w:hAnsi="宋体" w:eastAsia="宋体" w:cs="宋体"/>
          <w:b w:val="0"/>
          <w:color w:val="000000"/>
          <w:sz w:val="21"/>
          <w:szCs w:val="21"/>
          <w:highlight w:val="none"/>
          <w:u w:val="none"/>
          <w:lang w:val="en-US" w:eastAsia="zh-CN"/>
        </w:rPr>
      </w:r>
      <w:r/>
    </w:p>
    <w:p>
      <w:pPr>
        <w:pStyle w:val="1200"/>
        <w:spacing w:line="240" w:lineRule="auto"/>
        <w:rPr>
          <w:rFonts w:hint="eastAsia" w:ascii="宋体" w:hAnsi="宋体" w:eastAsia="宋体" w:cs="宋体"/>
          <w:b w:val="0"/>
          <w:bCs/>
          <w:color w:val="000000"/>
          <w:sz w:val="21"/>
          <w:szCs w:val="21"/>
          <w:highlight w:val="none"/>
          <w:u w:val="none"/>
        </w:rPr>
      </w:pPr>
      <w:r>
        <w:rPr>
          <w:rFonts w:hint="eastAsia" w:ascii="宋体" w:hAnsi="宋体" w:eastAsia="宋体" w:cs="宋体"/>
          <w:b w:val="0"/>
          <w:color w:val="000000"/>
          <w:sz w:val="21"/>
          <w:szCs w:val="21"/>
          <w:highlight w:val="none"/>
          <w:u w:val="none"/>
        </w:rPr>
        <w:t xml:space="preserve">1-</w:t>
      </w:r>
      <w:r>
        <w:rPr>
          <w:rFonts w:hint="eastAsia" w:hAnsi="宋体" w:eastAsia="宋体" w:cs="宋体"/>
          <w:b w:val="0"/>
          <w:color w:val="000000"/>
          <w:sz w:val="21"/>
          <w:szCs w:val="21"/>
          <w:highlight w:val="none"/>
          <w:u w:val="none"/>
          <w:lang w:val="en-US" w:eastAsia="zh-CN"/>
        </w:rPr>
        <w:t xml:space="preserve">2</w:t>
      </w:r>
      <w:r>
        <w:rPr>
          <w:rFonts w:hint="eastAsia" w:ascii="宋体" w:hAnsi="宋体" w:eastAsia="宋体" w:cs="宋体"/>
          <w:b w:val="0"/>
          <w:color w:val="000000"/>
          <w:sz w:val="21"/>
          <w:szCs w:val="21"/>
          <w:highlight w:val="none"/>
          <w:u w:val="none"/>
        </w:rPr>
        <w:t xml:space="preserve"> 供应商资格声明函（实质性格式）</w:t>
      </w:r>
      <w:r>
        <w:rPr>
          <w:rFonts w:hint="eastAsia" w:ascii="宋体" w:hAnsi="宋体" w:eastAsia="宋体" w:cs="宋体"/>
          <w:b w:val="0"/>
          <w:bCs/>
          <w:color w:val="000000"/>
          <w:sz w:val="21"/>
          <w:szCs w:val="21"/>
          <w:highlight w:val="none"/>
          <w:u w:val="none"/>
        </w:rPr>
      </w:r>
      <w:r/>
    </w:p>
    <w:p>
      <w:pPr>
        <w:pStyle w:val="1197"/>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197"/>
        <w:jc w:val="center"/>
        <w:spacing w:before="120" w:line="360" w:lineRule="auto"/>
        <w:widowControl/>
        <w:rPr>
          <w:sz w:val="32"/>
          <w:szCs w:val="32"/>
          <w:highlight w:val="none"/>
        </w:rPr>
      </w:pPr>
      <w:r>
        <w:rPr>
          <w:rFonts w:hint="eastAsia" w:ascii="宋体" w:hAnsi="宋体" w:cs="宋体"/>
          <w:b/>
          <w:sz w:val="32"/>
          <w:szCs w:val="32"/>
          <w:highlight w:val="none"/>
        </w:rPr>
        <w:t xml:space="preserve">供应商资格声明函</w:t>
      </w:r>
      <w:r>
        <w:rPr>
          <w:sz w:val="32"/>
          <w:szCs w:val="32"/>
          <w:highlight w:val="none"/>
        </w:rPr>
      </w:r>
      <w:r/>
    </w:p>
    <w:p>
      <w:pPr>
        <w:pStyle w:val="1220"/>
        <w:ind w:firstLine="480"/>
        <w:spacing w:line="460" w:lineRule="exact"/>
        <w:rPr>
          <w:rFonts w:hint="eastAsia" w:eastAsia="宋体"/>
          <w:sz w:val="21"/>
          <w:szCs w:val="21"/>
          <w:highlight w:val="none"/>
          <w:lang w:val="en-US" w:eastAsia="zh-CN"/>
        </w:rPr>
      </w:pPr>
      <w:r>
        <w:rPr>
          <w:rFonts w:hint="eastAsia"/>
          <w:sz w:val="21"/>
          <w:szCs w:val="21"/>
          <w:highlight w:val="none"/>
        </w:rPr>
        <w:t xml:space="preserve">致：</w:t>
      </w:r>
      <w:r>
        <w:rPr>
          <w:rFonts w:hint="eastAsia"/>
          <w:sz w:val="21"/>
          <w:szCs w:val="21"/>
          <w:highlight w:val="none"/>
          <w:u w:val="single"/>
          <w:lang w:eastAsia="zh-CN"/>
        </w:rPr>
        <w:t xml:space="preserve">常州市阳峻项目管理有限公司</w:t>
      </w:r>
      <w:r>
        <w:rPr>
          <w:rFonts w:hint="eastAsia" w:eastAsia="宋体"/>
          <w:sz w:val="21"/>
          <w:szCs w:val="21"/>
          <w:highlight w:val="none"/>
          <w:lang w:val="en-US" w:eastAsia="zh-CN"/>
        </w:rPr>
      </w:r>
      <w:r/>
    </w:p>
    <w:p>
      <w:pPr>
        <w:pStyle w:val="1220"/>
        <w:ind w:firstLine="840"/>
        <w:spacing w:line="460" w:lineRule="exact"/>
        <w:rPr>
          <w:sz w:val="21"/>
          <w:szCs w:val="21"/>
          <w:highlight w:val="none"/>
        </w:rPr>
      </w:pPr>
      <w:r>
        <w:rPr>
          <w:rFonts w:hint="eastAsia"/>
          <w:sz w:val="21"/>
          <w:szCs w:val="21"/>
          <w:highlight w:val="none"/>
          <w:u w:val="single"/>
        </w:rPr>
        <w:t xml:space="preserve">（采购人名称）</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按照《中华人民共和国政府采购法》第二十二条和磋商文件的规定，我单位郑重声明如下：</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一、我单位是按照中华人民共和国法律规定登记注册的，注册地点为</w:t>
      </w:r>
      <w:r>
        <w:rPr>
          <w:rFonts w:hint="eastAsia"/>
          <w:sz w:val="21"/>
          <w:szCs w:val="21"/>
          <w:highlight w:val="none"/>
          <w:u w:val="single"/>
        </w:rPr>
        <w:t xml:space="preserve">         </w:t>
      </w:r>
      <w:r>
        <w:rPr>
          <w:rFonts w:hint="eastAsia"/>
          <w:sz w:val="21"/>
          <w:szCs w:val="21"/>
          <w:highlight w:val="none"/>
        </w:rPr>
        <w:t xml:space="preserve">，全称为</w:t>
      </w:r>
      <w:r>
        <w:rPr>
          <w:rFonts w:hint="eastAsia"/>
          <w:sz w:val="21"/>
          <w:szCs w:val="21"/>
          <w:highlight w:val="none"/>
          <w:u w:val="single"/>
        </w:rPr>
        <w:t xml:space="preserve">        </w:t>
      </w:r>
      <w:r>
        <w:rPr>
          <w:rFonts w:hint="eastAsia"/>
          <w:sz w:val="21"/>
          <w:szCs w:val="21"/>
          <w:highlight w:val="none"/>
        </w:rPr>
        <w:t xml:space="preserve">，统一社会信用代码为</w:t>
      </w:r>
      <w:r>
        <w:rPr>
          <w:rFonts w:hint="eastAsia"/>
          <w:sz w:val="21"/>
          <w:szCs w:val="21"/>
          <w:highlight w:val="none"/>
          <w:u w:val="single"/>
        </w:rPr>
        <w:t xml:space="preserve">           </w:t>
      </w:r>
      <w:r>
        <w:rPr>
          <w:rFonts w:hint="eastAsia"/>
          <w:sz w:val="21"/>
          <w:szCs w:val="21"/>
          <w:highlight w:val="none"/>
        </w:rPr>
        <w:t xml:space="preserve"> ，法定代表人（单位负责人）为</w:t>
      </w:r>
      <w:r>
        <w:rPr>
          <w:rFonts w:hint="eastAsia"/>
          <w:sz w:val="21"/>
          <w:szCs w:val="21"/>
          <w:highlight w:val="none"/>
          <w:u w:val="single"/>
        </w:rPr>
        <w:t xml:space="preserve">         </w:t>
      </w:r>
      <w:r>
        <w:rPr>
          <w:rFonts w:hint="eastAsia"/>
          <w:sz w:val="21"/>
          <w:szCs w:val="21"/>
          <w:highlight w:val="none"/>
        </w:rPr>
        <w:t xml:space="preserve">，具有独立承担民事责任的能力</w:t>
      </w:r>
      <w:r>
        <w:rPr>
          <w:rFonts w:hint="eastAsia"/>
          <w:b/>
          <w:sz w:val="21"/>
          <w:szCs w:val="21"/>
          <w:highlight w:val="none"/>
        </w:rPr>
        <w:t xml:space="preserve">（如属于分公司经总公司授权参与项目，由总公司承担民事责任的，需提供总公司项目授权书）</w:t>
      </w:r>
      <w:r>
        <w:rPr>
          <w:rFonts w:hint="eastAsia"/>
          <w:sz w:val="21"/>
          <w:szCs w:val="21"/>
          <w:highlight w:val="none"/>
        </w:rPr>
        <w:t xml:space="preserve">。</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二、我单位未被“国家企业信用信息系统”列入经营异常名录或者严重违法企业名单。</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三、我单位具有良好的商业信誉（指供应商经营状况良好，无本资格声明第十条情形）和健全的财务会计制度。</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四、我单位依法进行纳税和社会保险申报并实际履行了义务。</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五、我单位具有履行本项目采购合同所必需的设备和专业技术能力，并具有履行合同的良好</w:t>
      </w:r>
      <w:r>
        <w:rPr>
          <w:sz w:val="21"/>
          <w:szCs w:val="21"/>
          <w:highlight w:val="none"/>
        </w:rPr>
        <w:t xml:space="preserve">记录</w:t>
      </w:r>
      <w:r>
        <w:rPr>
          <w:rFonts w:hint="eastAsia"/>
          <w:sz w:val="21"/>
          <w:szCs w:val="21"/>
          <w:highlight w:val="none"/>
        </w:rPr>
        <w:t xml:space="preserve">。为履行本项采购合同我单位具备如下主要设备和主要专业技术能力:</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主要设备有：</w:t>
      </w:r>
      <w:r>
        <w:rPr>
          <w:sz w:val="21"/>
          <w:szCs w:val="21"/>
          <w:highlight w:val="none"/>
          <w:u w:val="single"/>
        </w:rPr>
        <w:t xml:space="preserve">            </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七、我单位具备法律、行政法规规定的其他条件。</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八、与我单位存在“单位负责人为同一人或者存在直接控股、管理关系”的其他单位信息如下（如无此情形的，填写“无”）：</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1、与我单位的法定代表人（单位负责人）为同一人的其他单位如下：</w:t>
      </w:r>
      <w:r>
        <w:rPr>
          <w:rFonts w:hint="eastAsia"/>
          <w:sz w:val="21"/>
          <w:szCs w:val="21"/>
          <w:highlight w:val="none"/>
          <w:u w:val="single"/>
        </w:rPr>
        <w:t xml:space="preserve">   </w:t>
      </w:r>
      <w:r>
        <w:rPr>
          <w:rFonts w:hint="eastAsia"/>
          <w:sz w:val="21"/>
          <w:szCs w:val="21"/>
          <w:highlight w:val="none"/>
          <w:u w:val="single"/>
          <w:lang w:val="en-US" w:eastAsia="zh-CN"/>
        </w:rPr>
        <w:t xml:space="preserve">  </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2、我单位直接控股的其他单位如下：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3、与我单位存在管理关系的其他单位如下：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九、</w:t>
      </w:r>
      <w:r>
        <w:rPr>
          <w:sz w:val="21"/>
          <w:szCs w:val="21"/>
          <w:highlight w:val="none"/>
        </w:rPr>
        <w:t xml:space="preserve">我</w:t>
      </w:r>
      <w:r>
        <w:rPr>
          <w:rFonts w:hint="eastAsia"/>
          <w:sz w:val="21"/>
          <w:szCs w:val="21"/>
          <w:highlight w:val="none"/>
        </w:rPr>
        <w:t xml:space="preserve">单位</w:t>
      </w:r>
      <w:r>
        <w:rPr>
          <w:sz w:val="21"/>
          <w:szCs w:val="21"/>
          <w:highlight w:val="none"/>
        </w:rPr>
        <w:t xml:space="preserve">不属于为本项目提供整体设计、规范编制或者项目管理、监理、检测等服务的供应商。</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十、</w:t>
      </w:r>
      <w:r>
        <w:rPr>
          <w:sz w:val="21"/>
          <w:szCs w:val="21"/>
          <w:highlight w:val="none"/>
        </w:rPr>
        <w:t xml:space="preserve">我单位无以下不良信用记录情形：</w:t>
      </w:r>
      <w:r>
        <w:rPr>
          <w:sz w:val="21"/>
          <w:szCs w:val="21"/>
          <w:highlight w:val="none"/>
        </w:rPr>
      </w:r>
      <w:r/>
    </w:p>
    <w:p>
      <w:pPr>
        <w:pStyle w:val="1220"/>
        <w:ind w:firstLine="480"/>
        <w:spacing w:line="460" w:lineRule="exact"/>
        <w:rPr>
          <w:sz w:val="21"/>
          <w:szCs w:val="21"/>
          <w:highlight w:val="none"/>
        </w:rPr>
      </w:pPr>
      <w:r>
        <w:rPr>
          <w:sz w:val="21"/>
          <w:szCs w:val="21"/>
          <w:highlight w:val="none"/>
        </w:rPr>
        <w:t xml:space="preserve">1</w:t>
      </w:r>
      <w:r>
        <w:rPr>
          <w:rFonts w:hint="eastAsia"/>
          <w:sz w:val="21"/>
          <w:szCs w:val="21"/>
          <w:highlight w:val="none"/>
        </w:rPr>
        <w:t xml:space="preserve">、在“信用中国”网站被列入失信被执行人和重大税收违法案件当事人名单；</w:t>
      </w:r>
      <w:r>
        <w:rPr>
          <w:sz w:val="21"/>
          <w:szCs w:val="21"/>
          <w:highlight w:val="none"/>
        </w:rPr>
      </w:r>
      <w:r/>
    </w:p>
    <w:p>
      <w:pPr>
        <w:pStyle w:val="1220"/>
        <w:ind w:firstLine="480"/>
        <w:spacing w:line="460" w:lineRule="exact"/>
        <w:rPr>
          <w:sz w:val="21"/>
          <w:szCs w:val="21"/>
          <w:highlight w:val="none"/>
        </w:rPr>
      </w:pPr>
      <w:r>
        <w:rPr>
          <w:sz w:val="21"/>
          <w:szCs w:val="21"/>
          <w:highlight w:val="none"/>
        </w:rPr>
        <w:t xml:space="preserve">2</w:t>
      </w:r>
      <w:r>
        <w:rPr>
          <w:rFonts w:hint="eastAsia"/>
          <w:sz w:val="21"/>
          <w:szCs w:val="21"/>
          <w:highlight w:val="none"/>
        </w:rPr>
        <w:t xml:space="preserve">、在“中国政府采购网”网站被列入政府采购严重违法失信行为记录名单；</w:t>
      </w:r>
      <w:r>
        <w:rPr>
          <w:sz w:val="21"/>
          <w:szCs w:val="21"/>
          <w:highlight w:val="none"/>
        </w:rPr>
      </w:r>
      <w:r/>
    </w:p>
    <w:p>
      <w:pPr>
        <w:pStyle w:val="1220"/>
        <w:ind w:firstLine="480"/>
        <w:spacing w:line="460" w:lineRule="exact"/>
        <w:rPr>
          <w:sz w:val="21"/>
          <w:szCs w:val="21"/>
          <w:highlight w:val="none"/>
        </w:rPr>
      </w:pPr>
      <w:r>
        <w:rPr>
          <w:sz w:val="21"/>
          <w:szCs w:val="21"/>
          <w:highlight w:val="none"/>
        </w:rPr>
        <w:t xml:space="preserve">3</w:t>
      </w:r>
      <w:r>
        <w:rPr>
          <w:rFonts w:hint="eastAsia"/>
          <w:sz w:val="21"/>
          <w:szCs w:val="21"/>
          <w:highlight w:val="none"/>
        </w:rPr>
        <w:t xml:space="preserve">、</w:t>
      </w:r>
      <w:r>
        <w:rPr>
          <w:sz w:val="21"/>
          <w:szCs w:val="21"/>
          <w:highlight w:val="none"/>
        </w:rPr>
        <w:t xml:space="preserve">不符合《政府采购法》第二十二条规定的条件。</w:t>
      </w:r>
      <w:r>
        <w:rPr>
          <w:sz w:val="21"/>
          <w:szCs w:val="21"/>
          <w:highlight w:val="none"/>
        </w:rPr>
      </w:r>
      <w:r/>
    </w:p>
    <w:p>
      <w:pPr>
        <w:pStyle w:val="1220"/>
        <w:ind w:firstLine="480"/>
        <w:spacing w:line="460" w:lineRule="exact"/>
        <w:rPr>
          <w:sz w:val="21"/>
          <w:szCs w:val="21"/>
          <w:highlight w:val="none"/>
        </w:rPr>
      </w:pP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我单位保证上述声明的事项都是真实的，如有虚假，我单位愿意承担相应的法律责任，并承担因此所造成的一切损失。</w:t>
      </w:r>
      <w:r>
        <w:rPr>
          <w:sz w:val="21"/>
          <w:szCs w:val="21"/>
          <w:highlight w:val="none"/>
        </w:rPr>
      </w:r>
      <w:r/>
    </w:p>
    <w:p>
      <w:pPr>
        <w:pStyle w:val="1220"/>
        <w:ind w:firstLine="480"/>
        <w:spacing w:line="460" w:lineRule="exact"/>
        <w:rPr>
          <w:sz w:val="21"/>
          <w:szCs w:val="21"/>
          <w:highlight w:val="none"/>
        </w:rPr>
      </w:pPr>
      <w:r>
        <w:rPr>
          <w:sz w:val="21"/>
          <w:szCs w:val="21"/>
          <w:highlight w:val="none"/>
        </w:rPr>
      </w:r>
      <w:r/>
    </w:p>
    <w:p>
      <w:pPr>
        <w:pStyle w:val="1220"/>
        <w:ind w:firstLine="480"/>
        <w:spacing w:line="460" w:lineRule="exact"/>
        <w:rPr>
          <w:sz w:val="21"/>
          <w:szCs w:val="21"/>
          <w:highlight w:val="none"/>
        </w:rPr>
      </w:pP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                                            供应商：（加盖公章）</w:t>
      </w:r>
      <w:r>
        <w:rPr>
          <w:sz w:val="21"/>
          <w:szCs w:val="21"/>
          <w:highlight w:val="none"/>
        </w:rPr>
      </w:r>
      <w:r/>
    </w:p>
    <w:p>
      <w:pPr>
        <w:pStyle w:val="1220"/>
        <w:ind w:firstLine="480"/>
        <w:spacing w:line="460" w:lineRule="exact"/>
        <w:rPr>
          <w:sz w:val="21"/>
          <w:szCs w:val="21"/>
          <w:highlight w:val="none"/>
        </w:rPr>
      </w:pPr>
      <w:r>
        <w:rPr>
          <w:rFonts w:hint="eastAsia"/>
          <w:sz w:val="21"/>
          <w:szCs w:val="21"/>
          <w:highlight w:val="none"/>
        </w:rPr>
        <w:t xml:space="preserve">                                           法定代表人（或单位负责人）签字或盖章：</w:t>
      </w:r>
      <w:r>
        <w:rPr>
          <w:sz w:val="21"/>
          <w:szCs w:val="21"/>
          <w:highlight w:val="none"/>
        </w:rPr>
      </w:r>
      <w:r/>
    </w:p>
    <w:p>
      <w:pPr>
        <w:pStyle w:val="1220"/>
        <w:ind w:firstLine="4305"/>
        <w:spacing w:line="460" w:lineRule="exact"/>
        <w:rPr>
          <w:rFonts w:hint="eastAsia"/>
          <w:sz w:val="21"/>
          <w:szCs w:val="21"/>
          <w:highlight w:val="none"/>
        </w:rPr>
      </w:pPr>
      <w:r>
        <w:rPr>
          <w:rFonts w:hint="eastAsia"/>
          <w:sz w:val="21"/>
          <w:szCs w:val="21"/>
          <w:highlight w:val="none"/>
        </w:rPr>
        <w:t xml:space="preserve">日期：    年    月    日</w:t>
      </w:r>
      <w:r>
        <w:rPr>
          <w:rFonts w:hint="eastAsia"/>
          <w:sz w:val="21"/>
          <w:szCs w:val="21"/>
          <w:highlight w:val="none"/>
        </w:rPr>
      </w:r>
      <w:r/>
    </w:p>
    <w:p>
      <w:pPr>
        <w:pStyle w:val="1197"/>
        <w:spacing w:line="360" w:lineRule="auto"/>
        <w:rPr>
          <w:rFonts w:hint="eastAsia"/>
          <w:sz w:val="21"/>
          <w:szCs w:val="21"/>
          <w:highlight w:val="none"/>
        </w:rPr>
      </w:pPr>
      <w:r>
        <w:rPr>
          <w:rFonts w:hint="eastAsia"/>
          <w:sz w:val="21"/>
          <w:szCs w:val="21"/>
          <w:highlight w:val="none"/>
        </w:rPr>
      </w:r>
      <w:r/>
    </w:p>
    <w:p>
      <w:pPr>
        <w:pStyle w:val="1197"/>
        <w:spacing w:line="360" w:lineRule="auto"/>
        <w:rPr>
          <w:rFonts w:hint="eastAsia"/>
          <w:sz w:val="21"/>
          <w:szCs w:val="21"/>
          <w:highlight w:val="none"/>
        </w:rPr>
      </w:pPr>
      <w:r>
        <w:rPr>
          <w:rFonts w:hint="eastAsia"/>
          <w:sz w:val="21"/>
          <w:szCs w:val="21"/>
          <w:highlight w:val="none"/>
        </w:rPr>
      </w:r>
      <w:r/>
    </w:p>
    <w:p>
      <w:pPr>
        <w:pStyle w:val="1197"/>
        <w:spacing w:line="360" w:lineRule="auto"/>
        <w:rPr>
          <w:rFonts w:hint="eastAsia"/>
          <w:sz w:val="21"/>
          <w:szCs w:val="21"/>
          <w:highlight w:val="none"/>
        </w:rPr>
      </w:pPr>
      <w:r>
        <w:rPr>
          <w:rFonts w:hint="eastAsia"/>
          <w:sz w:val="21"/>
          <w:szCs w:val="21"/>
          <w:highlight w:val="none"/>
        </w:rPr>
      </w:r>
      <w:r/>
    </w:p>
    <w:p>
      <w:pPr>
        <w:pStyle w:val="1197"/>
        <w:spacing w:line="360" w:lineRule="auto"/>
        <w:rPr>
          <w:sz w:val="21"/>
          <w:szCs w:val="21"/>
          <w:highlight w:val="none"/>
        </w:rPr>
      </w:pPr>
      <w:r>
        <w:rPr>
          <w:sz w:val="21"/>
          <w:szCs w:val="21"/>
          <w:highlight w:val="none"/>
        </w:rPr>
        <w:t xml:space="preserve">说明：</w:t>
      </w:r>
      <w:r>
        <w:rPr>
          <w:rFonts w:hint="eastAsia"/>
          <w:sz w:val="21"/>
          <w:szCs w:val="21"/>
          <w:highlight w:val="none"/>
        </w:rPr>
        <w:t xml:space="preserve">供应商承诺不实的，依据《政府采购法》第七十七条“提供虚假材料谋取中标、成交的”有关规定予以处理</w:t>
      </w:r>
      <w:r>
        <w:rPr>
          <w:sz w:val="21"/>
          <w:szCs w:val="21"/>
          <w:highlight w:val="none"/>
        </w:rPr>
        <w:t xml:space="preserve">。</w:t>
      </w:r>
      <w:r>
        <w:rPr>
          <w:sz w:val="21"/>
          <w:szCs w:val="21"/>
          <w:highlight w:val="none"/>
        </w:rPr>
      </w:r>
      <w:r/>
    </w:p>
    <w:p>
      <w:pPr>
        <w:pStyle w:val="1197"/>
        <w:spacing w:line="360" w:lineRule="auto"/>
        <w:tabs>
          <w:tab w:val="left" w:pos="5580" w:leader="none"/>
        </w:tabs>
        <w:rPr>
          <w:sz w:val="21"/>
          <w:szCs w:val="21"/>
          <w:highlight w:val="none"/>
        </w:rPr>
        <w:sectPr>
          <w:headerReference w:type="default" r:id="rId13"/>
          <w:footerReference w:type="default" r:id="rId24"/>
          <w:footnotePr/>
          <w:endnotePr/>
          <w:type w:val="nextPage"/>
          <w:pgSz w:w="11907" w:h="16840" w:orient="portrait"/>
          <w:pgMar w:top="1418" w:right="1134" w:bottom="1418" w:left="1701" w:header="851" w:footer="851" w:gutter="0"/>
          <w:pgNumType w:start="1"/>
          <w:cols w:num="1" w:sep="0" w:space="1701" w:equalWidth="1"/>
          <w:docGrid w:linePitch="360"/>
        </w:sectPr>
      </w:pPr>
      <w:r>
        <w:rPr>
          <w:sz w:val="21"/>
          <w:szCs w:val="21"/>
          <w:highlight w:val="none"/>
        </w:rPr>
      </w:r>
      <w:r/>
    </w:p>
    <w:p>
      <w:pPr>
        <w:pStyle w:val="1197"/>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p>
      <w:pPr>
        <w:pStyle w:val="1197"/>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2-1 中小企业声明函</w:t>
      </w:r>
      <w:r>
        <w:rPr>
          <w:rFonts w:hint="eastAsia" w:ascii="宋体" w:hAnsi="宋体" w:eastAsia="宋体" w:cs="宋体"/>
          <w:color w:val="000000"/>
          <w:sz w:val="21"/>
          <w:szCs w:val="21"/>
          <w:highlight w:val="none"/>
        </w:rPr>
      </w:r>
      <w:r/>
    </w:p>
    <w:p>
      <w:pPr>
        <w:pStyle w:val="1197"/>
        <w:spacing w:line="360" w:lineRule="auto"/>
        <w:tabs>
          <w:tab w:val="left" w:pos="5580" w:leader="none"/>
        </w:tabs>
        <w:rPr>
          <w:sz w:val="24"/>
          <w:highlight w:val="none"/>
        </w:rPr>
      </w:pPr>
      <w:r>
        <w:rPr>
          <w:sz w:val="24"/>
          <w:highlight w:val="none"/>
        </w:rPr>
      </w:r>
      <w:r/>
    </w:p>
    <w:p>
      <w:pPr>
        <w:pStyle w:val="1197"/>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rPr>
          <w:rFonts w:hint="eastAsia" w:ascii="宋体" w:hAnsi="宋体" w:eastAsia="宋体" w:cs="宋体"/>
          <w:sz w:val="21"/>
          <w:szCs w:val="21"/>
          <w:highlight w:val="none"/>
        </w:rPr>
      </w:r>
      <w:r/>
    </w:p>
    <w:p>
      <w:pPr>
        <w:pStyle w:val="1197"/>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（1）如本项目（包）不专门面向中小企业预留采购份额，供应商非必须提供；当小微企业拟享受中小企业扶持政策时，仍应提供《中小企业声明函》，</w:t>
      </w:r>
      <w:r>
        <w:rPr>
          <w:rFonts w:hint="eastAsia" w:ascii="宋体" w:hAnsi="宋体" w:eastAsia="宋体" w:cs="宋体"/>
          <w:color w:val="000000"/>
          <w:sz w:val="21"/>
          <w:szCs w:val="21"/>
          <w:highlight w:val="none"/>
        </w:rPr>
        <w:t xml:space="preserve">否则不得享受相关中小企业扶持政策</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97"/>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（2）如本项目（包）专门面向中小/小微企业采购，须提供《中小企业声明函》</w:t>
      </w:r>
      <w:r>
        <w:rPr>
          <w:rFonts w:hint="eastAsia" w:ascii="宋体" w:hAnsi="宋体" w:eastAsia="宋体" w:cs="宋体"/>
          <w:color w:val="000000"/>
          <w:sz w:val="21"/>
          <w:szCs w:val="21"/>
          <w:highlight w:val="none"/>
        </w:rPr>
        <w:t xml:space="preserve">（实质性格式）</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97"/>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1"/>
          <w:szCs w:val="21"/>
          <w:highlight w:val="none"/>
        </w:rPr>
      </w:r>
      <w:r/>
    </w:p>
    <w:p>
      <w:pPr>
        <w:pStyle w:val="1197"/>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（4）其它</w:t>
      </w:r>
      <w:r>
        <w:rPr>
          <w:rFonts w:hint="eastAsia" w:ascii="宋体" w:hAnsi="宋体" w:eastAsia="宋体" w:cs="宋体"/>
          <w:sz w:val="21"/>
          <w:szCs w:val="21"/>
          <w:highlight w:val="none"/>
        </w:rPr>
      </w:r>
      <w:r/>
    </w:p>
    <w:p>
      <w:pPr>
        <w:pStyle w:val="1197"/>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sz w:val="21"/>
          <w:szCs w:val="21"/>
          <w:highlight w:val="none"/>
        </w:rPr>
      </w:r>
      <w:r/>
    </w:p>
    <w:p>
      <w:pPr>
        <w:pStyle w:val="1197"/>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1"/>
          <w:szCs w:val="21"/>
          <w:highlight w:val="none"/>
        </w:rPr>
      </w:r>
      <w:r/>
    </w:p>
    <w:p>
      <w:pPr>
        <w:pStyle w:val="1197"/>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3）对于多标的的采购项目，供应商应充分、准确地了解所投产品制造企业信息。对相关情况了解不清楚的，不建议填报本声明函。</w:t>
      </w:r>
      <w:r>
        <w:rPr>
          <w:rFonts w:hint="eastAsia" w:ascii="宋体" w:hAnsi="宋体" w:eastAsia="宋体" w:cs="宋体"/>
          <w:sz w:val="21"/>
          <w:szCs w:val="21"/>
          <w:highlight w:val="none"/>
        </w:rPr>
      </w:r>
      <w:r/>
    </w:p>
    <w:p>
      <w:pPr>
        <w:pStyle w:val="1197"/>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sz w:val="21"/>
          <w:szCs w:val="21"/>
          <w:highlight w:val="none"/>
        </w:rPr>
      </w:r>
      <w:r/>
    </w:p>
    <w:p>
      <w:pPr>
        <w:pStyle w:val="1197"/>
        <w:spacing w:line="360" w:lineRule="auto"/>
        <w:tabs>
          <w:tab w:val="left" w:pos="5580" w:leader="none"/>
        </w:tabs>
        <w:rPr>
          <w:sz w:val="24"/>
          <w:highlight w:val="none"/>
        </w:rPr>
      </w:pPr>
      <w:r>
        <w:rPr>
          <w:sz w:val="24"/>
          <w:highlight w:val="none"/>
        </w:rPr>
      </w:r>
      <w:r/>
    </w:p>
    <w:p>
      <w:pPr>
        <w:pStyle w:val="1197"/>
        <w:jc w:val="left"/>
        <w:widowControl/>
        <w:rPr>
          <w:sz w:val="24"/>
          <w:highlight w:val="none"/>
        </w:rPr>
      </w:pPr>
      <w:r>
        <w:rPr>
          <w:sz w:val="24"/>
          <w:highlight w:val="none"/>
        </w:rPr>
        <w:br w:type="page" w:clear="all"/>
      </w:r>
      <w:r>
        <w:rPr>
          <w:sz w:val="24"/>
          <w:highlight w:val="none"/>
        </w:rPr>
      </w:r>
      <w:r/>
    </w:p>
    <w:p>
      <w:pPr>
        <w:pStyle w:val="1197"/>
        <w:jc w:val="center"/>
        <w:spacing w:line="360" w:lineRule="auto"/>
        <w:rPr>
          <w:rFonts w:hint="eastAsia" w:ascii="宋体" w:hAnsi="宋体" w:eastAsia="宋体" w:cs="宋体"/>
          <w:sz w:val="21"/>
          <w:szCs w:val="21"/>
        </w:rPr>
      </w:pPr>
      <w:r>
        <w:rPr>
          <w:rFonts w:hint="eastAsia" w:ascii="Times New Roman" w:hAnsi="Times New Roman" w:eastAsia="宋体" w:cs="Times New Roman"/>
          <w:b/>
          <w:color w:val="000000"/>
          <w:sz w:val="32"/>
          <w:szCs w:val="32"/>
          <w:highlight w:val="none"/>
        </w:rPr>
        <w:t xml:space="preserve">中小企业声明函（服务类）</w:t>
      </w:r>
      <w:r>
        <w:rPr>
          <w:rFonts w:hint="eastAsia" w:ascii="宋体" w:hAnsi="宋体" w:eastAsia="宋体" w:cs="宋体"/>
          <w:sz w:val="21"/>
          <w:szCs w:val="21"/>
        </w:rPr>
      </w:r>
      <w:r/>
    </w:p>
    <w:p>
      <w:pPr>
        <w:pStyle w:val="1197"/>
        <w:ind w:firstLine="52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1"/>
          <w:szCs w:val="21"/>
          <w:highlight w:val="none"/>
          <w:u w:val="single"/>
        </w:rPr>
        <w:t xml:space="preserve">（采购单位名称①）</w:t>
      </w:r>
      <w:r>
        <w:rPr>
          <w:rFonts w:hint="eastAsia" w:ascii="宋体" w:hAnsi="宋体" w:eastAsia="宋体" w:cs="宋体"/>
          <w:sz w:val="21"/>
          <w:szCs w:val="21"/>
          <w:highlight w:val="none"/>
        </w:rPr>
        <w:t xml:space="preserve">采购编号为</w:t>
      </w:r>
      <w:r>
        <w:rPr>
          <w:rFonts w:hint="eastAsia" w:ascii="宋体" w:hAnsi="宋体" w:eastAsia="宋体" w:cs="宋体"/>
          <w:sz w:val="21"/>
          <w:szCs w:val="21"/>
          <w:highlight w:val="none"/>
          <w:u w:val="single"/>
        </w:rPr>
        <w:t xml:space="preserve">②</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（项目名称③）（分包号：④）</w:t>
      </w:r>
      <w:r>
        <w:rPr>
          <w:rFonts w:hint="eastAsia" w:ascii="宋体" w:hAnsi="宋体" w:eastAsia="宋体" w:cs="宋体"/>
          <w:sz w:val="21"/>
          <w:szCs w:val="21"/>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sz w:val="21"/>
          <w:szCs w:val="21"/>
          <w:highlight w:val="none"/>
        </w:rPr>
      </w:r>
      <w:r/>
    </w:p>
    <w:p>
      <w:pPr>
        <w:pStyle w:val="1197"/>
        <w:ind w:firstLine="315"/>
        <w:spacing w:line="570" w:lineRule="exact"/>
        <w:rPr>
          <w:rFonts w:hint="eastAsia" w:ascii="宋体" w:hAnsi="宋体" w:eastAsia="宋体" w:cs="宋体"/>
          <w:i/>
          <w:sz w:val="21"/>
          <w:szCs w:val="21"/>
          <w:highlight w:val="none"/>
          <w:u w:val="singl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（标的名称⑤）</w:t>
      </w:r>
      <w:r>
        <w:rPr>
          <w:rFonts w:hint="eastAsia" w:ascii="宋体" w:hAnsi="宋体" w:eastAsia="宋体" w:cs="宋体"/>
          <w:i/>
          <w:sz w:val="21"/>
          <w:szCs w:val="21"/>
          <w:highlight w:val="none"/>
        </w:rPr>
        <w:t xml:space="preserve">，</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color w:val="000000"/>
          <w:sz w:val="21"/>
          <w:szCs w:val="21"/>
          <w:highlight w:val="none"/>
          <w:u w:val="single"/>
        </w:rPr>
        <w:t xml:space="preserve">⑥</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行业；承接（承建）企业为</w:t>
      </w:r>
      <w:r>
        <w:rPr>
          <w:rFonts w:hint="eastAsia" w:ascii="宋体" w:hAnsi="宋体" w:eastAsia="宋体" w:cs="宋体"/>
          <w:sz w:val="21"/>
          <w:szCs w:val="21"/>
          <w:highlight w:val="none"/>
          <w:u w:val="single"/>
        </w:rPr>
        <w:t xml:space="preserve">（企业名称⑦）</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 xml:space="preserve">⑧</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⑨</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⑩</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（中型企业、小型企业、微型企业⑪）；</w:t>
      </w:r>
      <w:r>
        <w:rPr>
          <w:rFonts w:hint="eastAsia" w:ascii="宋体" w:hAnsi="宋体" w:eastAsia="宋体" w:cs="宋体"/>
          <w:i/>
          <w:sz w:val="21"/>
          <w:szCs w:val="21"/>
          <w:highlight w:val="none"/>
          <w:u w:val="single"/>
        </w:rPr>
      </w:r>
      <w:r/>
    </w:p>
    <w:p>
      <w:pPr>
        <w:pStyle w:val="1197"/>
        <w:ind w:firstLine="315"/>
        <w:spacing w:line="570" w:lineRule="exact"/>
        <w:rPr>
          <w:rFonts w:hint="eastAsia" w:ascii="宋体" w:hAnsi="宋体" w:eastAsia="宋体" w:cs="宋体"/>
          <w:i/>
          <w:sz w:val="21"/>
          <w:szCs w:val="21"/>
          <w:highlight w:val="none"/>
          <w:u w:val="singl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（标的名称）</w:t>
      </w:r>
      <w:r>
        <w:rPr>
          <w:rFonts w:hint="eastAsia" w:ascii="宋体" w:hAnsi="宋体" w:eastAsia="宋体" w:cs="宋体"/>
          <w:i/>
          <w:sz w:val="21"/>
          <w:szCs w:val="21"/>
          <w:highlight w:val="none"/>
        </w:rPr>
        <w:t xml:space="preserve">，</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行业；承接（承建）企业为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i/>
          <w:sz w:val="21"/>
          <w:szCs w:val="21"/>
          <w:highlight w:val="none"/>
          <w:u w:val="single"/>
        </w:rPr>
      </w:r>
      <w:r/>
    </w:p>
    <w:p>
      <w:pPr>
        <w:pStyle w:val="1197"/>
        <w:ind w:firstLine="31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97"/>
        <w:ind w:firstLine="31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highlight w:val="none"/>
        </w:rPr>
      </w:r>
      <w:r/>
    </w:p>
    <w:p>
      <w:pPr>
        <w:pStyle w:val="1197"/>
        <w:ind w:firstLine="31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rPr>
          <w:rFonts w:hint="eastAsia" w:ascii="宋体" w:hAnsi="宋体" w:eastAsia="宋体" w:cs="宋体"/>
          <w:sz w:val="21"/>
          <w:szCs w:val="21"/>
          <w:highlight w:val="none"/>
        </w:rPr>
      </w:r>
      <w:r/>
    </w:p>
    <w:p>
      <w:pPr>
        <w:pStyle w:val="1197"/>
        <w:ind w:right="180" w:firstLine="315"/>
        <w:jc w:val="right"/>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企业名称（加盖CA电子公章）⑫：</w:t>
      </w:r>
      <w:r>
        <w:rPr>
          <w:rFonts w:hint="eastAsia" w:ascii="宋体" w:hAnsi="宋体" w:eastAsia="宋体" w:cs="宋体"/>
          <w:sz w:val="21"/>
          <w:szCs w:val="21"/>
          <w:highlight w:val="none"/>
        </w:rPr>
      </w:r>
      <w:r/>
    </w:p>
    <w:p>
      <w:pPr>
        <w:pStyle w:val="1197"/>
        <w:ind w:right="480" w:firstLine="577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rPr>
      </w:r>
      <w:r/>
    </w:p>
    <w:p>
      <w:pPr>
        <w:pStyle w:val="1197"/>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97"/>
        <w:spacing w:line="57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97"/>
        <w:spacing w:line="57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97"/>
        <w:spacing w:line="57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97"/>
        <w:spacing w:line="57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97"/>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填写说明：</w:t>
      </w:r>
      <w:r>
        <w:rPr>
          <w:rFonts w:hint="eastAsia" w:ascii="宋体" w:hAnsi="宋体" w:eastAsia="宋体" w:cs="宋体"/>
          <w:sz w:val="21"/>
          <w:szCs w:val="21"/>
          <w:highlight w:val="none"/>
        </w:rPr>
      </w:r>
      <w:r/>
    </w:p>
    <w:p>
      <w:pPr>
        <w:pStyle w:val="1197"/>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1.（采购单位名称①）：填写本项目采购人单位名称，如常州市XXX局。</w:t>
      </w:r>
      <w:r>
        <w:rPr>
          <w:rFonts w:hint="eastAsia" w:ascii="宋体" w:hAnsi="宋体" w:eastAsia="宋体" w:cs="宋体"/>
          <w:sz w:val="21"/>
          <w:szCs w:val="21"/>
          <w:highlight w:val="none"/>
        </w:rPr>
      </w:r>
      <w:r/>
    </w:p>
    <w:p>
      <w:pPr>
        <w:pStyle w:val="1197"/>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2.采购编号为②：填写本项目编号，如JSZC-3204XX-JZCG-G20XX-XX。</w:t>
      </w:r>
      <w:r>
        <w:rPr>
          <w:rFonts w:hint="eastAsia" w:ascii="宋体" w:hAnsi="宋体" w:eastAsia="宋体" w:cs="宋体"/>
          <w:sz w:val="21"/>
          <w:szCs w:val="21"/>
          <w:highlight w:val="none"/>
        </w:rPr>
      </w:r>
      <w:r/>
    </w:p>
    <w:p>
      <w:pPr>
        <w:pStyle w:val="1197"/>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3.（项目名称③）：填写本项目名称，如常州市XXX项目。</w:t>
      </w:r>
      <w:r>
        <w:rPr>
          <w:rFonts w:hint="eastAsia" w:ascii="宋体" w:hAnsi="宋体" w:eastAsia="宋体" w:cs="宋体"/>
          <w:sz w:val="21"/>
          <w:szCs w:val="21"/>
          <w:highlight w:val="none"/>
        </w:rPr>
      </w:r>
      <w:r/>
    </w:p>
    <w:p>
      <w:pPr>
        <w:pStyle w:val="1197"/>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4.（分包号：</w:t>
      </w:r>
      <w:r>
        <w:rPr>
          <w:rFonts w:hint="eastAsia" w:ascii="宋体" w:hAnsi="宋体" w:eastAsia="宋体" w:cs="宋体"/>
          <w:color w:val="000000"/>
          <w:sz w:val="21"/>
          <w:szCs w:val="21"/>
          <w:highlight w:val="none"/>
        </w:rPr>
        <w:t xml:space="preserve">④</w:t>
      </w:r>
      <w:r>
        <w:rPr>
          <w:rFonts w:hint="eastAsia" w:ascii="宋体" w:hAnsi="宋体" w:eastAsia="宋体" w:cs="宋体"/>
          <w:sz w:val="21"/>
          <w:szCs w:val="21"/>
          <w:highlight w:val="none"/>
        </w:rPr>
        <w:t xml:space="preserve">）：填写分包编号，如有分包的，分别填写分包号，没有的填“无”。</w:t>
      </w:r>
      <w:r>
        <w:rPr>
          <w:rFonts w:hint="eastAsia" w:ascii="宋体" w:hAnsi="宋体" w:eastAsia="宋体" w:cs="宋体"/>
          <w:sz w:val="21"/>
          <w:szCs w:val="21"/>
          <w:highlight w:val="none"/>
        </w:rPr>
      </w:r>
      <w:r/>
    </w:p>
    <w:p>
      <w:pPr>
        <w:pStyle w:val="1197"/>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5.（标的名称</w:t>
      </w:r>
      <w:r>
        <w:rPr>
          <w:rFonts w:hint="eastAsia" w:ascii="宋体" w:hAnsi="宋体" w:eastAsia="宋体" w:cs="宋体"/>
          <w:color w:val="000000"/>
          <w:sz w:val="21"/>
          <w:szCs w:val="21"/>
          <w:highlight w:val="none"/>
        </w:rPr>
        <w:t xml:space="preserve">⑤</w:t>
      </w:r>
      <w:r>
        <w:rPr>
          <w:rFonts w:hint="eastAsia" w:ascii="宋体" w:hAnsi="宋体" w:eastAsia="宋体" w:cs="宋体"/>
          <w:sz w:val="21"/>
          <w:szCs w:val="21"/>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宋体" w:hAnsi="宋体" w:eastAsia="宋体" w:cs="宋体"/>
          <w:sz w:val="21"/>
          <w:szCs w:val="21"/>
          <w:highlight w:val="none"/>
        </w:rPr>
      </w:r>
      <w:r/>
    </w:p>
    <w:p>
      <w:pPr>
        <w:pStyle w:val="1197"/>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宋体" w:hAnsi="宋体" w:eastAsia="宋体" w:cs="宋体"/>
          <w:sz w:val="21"/>
          <w:szCs w:val="21"/>
          <w:highlight w:val="none"/>
        </w:rPr>
      </w:r>
      <w:r/>
    </w:p>
    <w:p>
      <w:pPr>
        <w:pStyle w:val="1197"/>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7.（企业名称</w:t>
      </w:r>
      <w:r>
        <w:rPr>
          <w:rFonts w:hint="eastAsia" w:ascii="宋体" w:hAnsi="宋体" w:eastAsia="宋体" w:cs="宋体"/>
          <w:color w:val="000000"/>
          <w:sz w:val="21"/>
          <w:szCs w:val="21"/>
          <w:highlight w:val="none"/>
        </w:rPr>
        <w:t xml:space="preserve">⑦</w:t>
      </w:r>
      <w:r>
        <w:rPr>
          <w:rFonts w:hint="eastAsia" w:ascii="宋体" w:hAnsi="宋体" w:eastAsia="宋体" w:cs="宋体"/>
          <w:sz w:val="21"/>
          <w:szCs w:val="21"/>
          <w:highlight w:val="none"/>
        </w:rPr>
        <w:t xml:space="preserve">）：填写</w:t>
      </w:r>
      <w:r>
        <w:rPr>
          <w:rFonts w:hint="eastAsia" w:ascii="宋体" w:hAnsi="宋体" w:eastAsia="宋体" w:cs="宋体"/>
          <w:b/>
          <w:bCs/>
          <w:sz w:val="21"/>
          <w:szCs w:val="21"/>
          <w:highlight w:val="none"/>
        </w:rPr>
        <w:t xml:space="preserve">投标人或供应商的名称</w:t>
      </w:r>
      <w:r>
        <w:rPr>
          <w:rFonts w:hint="eastAsia" w:ascii="宋体" w:hAnsi="宋体" w:eastAsia="宋体" w:cs="宋体"/>
          <w:sz w:val="21"/>
          <w:szCs w:val="21"/>
          <w:highlight w:val="none"/>
        </w:rPr>
        <w:t xml:space="preserve">，如XXX公司。</w:t>
      </w:r>
      <w:r>
        <w:rPr>
          <w:rFonts w:hint="eastAsia" w:ascii="宋体" w:hAnsi="宋体" w:eastAsia="宋体" w:cs="宋体"/>
          <w:sz w:val="21"/>
          <w:szCs w:val="21"/>
          <w:highlight w:val="none"/>
        </w:rPr>
      </w:r>
      <w:r/>
    </w:p>
    <w:p>
      <w:pPr>
        <w:pStyle w:val="1197"/>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8.从业人员</w:t>
      </w:r>
      <w:r>
        <w:rPr>
          <w:rFonts w:hint="eastAsia" w:ascii="宋体" w:hAnsi="宋体" w:eastAsia="宋体" w:cs="宋体"/>
          <w:color w:val="000000"/>
          <w:sz w:val="21"/>
          <w:szCs w:val="21"/>
          <w:highlight w:val="none"/>
        </w:rPr>
        <w:t xml:space="preserve">⑧</w:t>
      </w:r>
      <w:r>
        <w:rPr>
          <w:rFonts w:hint="eastAsia" w:ascii="宋体" w:hAnsi="宋体" w:eastAsia="宋体" w:cs="宋体"/>
          <w:sz w:val="21"/>
          <w:szCs w:val="21"/>
          <w:highlight w:val="none"/>
        </w:rPr>
        <w:t xml:space="preserve">人，营业收入为⑨万元，资产总额为⑩万元：填报</w:t>
      </w:r>
      <w:r>
        <w:rPr>
          <w:rFonts w:hint="eastAsia" w:ascii="宋体" w:hAnsi="宋体" w:eastAsia="宋体" w:cs="宋体"/>
          <w:b/>
          <w:bCs/>
          <w:sz w:val="21"/>
          <w:szCs w:val="21"/>
          <w:highlight w:val="none"/>
        </w:rPr>
        <w:t xml:space="preserve">投标人或供应商</w:t>
      </w:r>
      <w:r>
        <w:rPr>
          <w:rFonts w:hint="eastAsia" w:ascii="宋体" w:hAnsi="宋体" w:eastAsia="宋体" w:cs="宋体"/>
          <w:sz w:val="21"/>
          <w:szCs w:val="21"/>
          <w:highlight w:val="none"/>
        </w:rPr>
        <w:t xml:space="preserve">的从业人员、营业收入、资产总额上一年度数据，无上一年度数据的新成立企业可不填报。</w:t>
      </w:r>
      <w:r>
        <w:rPr>
          <w:rFonts w:hint="eastAsia" w:ascii="宋体" w:hAnsi="宋体" w:eastAsia="宋体" w:cs="宋体"/>
          <w:sz w:val="21"/>
          <w:szCs w:val="21"/>
          <w:highlight w:val="none"/>
        </w:rPr>
      </w:r>
      <w:r/>
    </w:p>
    <w:p>
      <w:pPr>
        <w:pStyle w:val="1197"/>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9.（中型企业、小型企业、微型企业</w:t>
      </w:r>
      <w:r>
        <w:rPr>
          <w:rFonts w:hint="eastAsia" w:ascii="宋体" w:hAnsi="宋体" w:eastAsia="宋体" w:cs="宋体"/>
          <w:sz w:val="21"/>
          <w:szCs w:val="21"/>
          <w:highlight w:val="none"/>
          <w:u w:val="single"/>
        </w:rPr>
        <w:t xml:space="preserve">⑪</w:t>
      </w:r>
      <w:r>
        <w:rPr>
          <w:rFonts w:hint="eastAsia" w:ascii="宋体" w:hAnsi="宋体" w:eastAsia="宋体" w:cs="宋体"/>
          <w:sz w:val="21"/>
          <w:szCs w:val="21"/>
          <w:highlight w:val="none"/>
        </w:rPr>
        <w:t xml:space="preserve">）：根据</w:t>
      </w:r>
      <w:r>
        <w:rPr>
          <w:rFonts w:hint="eastAsia" w:ascii="宋体" w:hAnsi="宋体" w:eastAsia="宋体" w:cs="宋体"/>
          <w:b/>
          <w:bCs/>
          <w:sz w:val="21"/>
          <w:szCs w:val="21"/>
          <w:highlight w:val="none"/>
        </w:rPr>
        <w:t xml:space="preserve">投标人或供应商</w:t>
      </w:r>
      <w:r>
        <w:rPr>
          <w:rFonts w:hint="eastAsia" w:ascii="宋体" w:hAnsi="宋体" w:eastAsia="宋体" w:cs="宋体"/>
          <w:sz w:val="21"/>
          <w:szCs w:val="21"/>
          <w:highlight w:val="none"/>
        </w:rPr>
        <w:t xml:space="preserve">的企业规模情况填写中型企业、小型企业或微型企业</w:t>
      </w:r>
      <w:r>
        <w:rPr>
          <w:rFonts w:hint="eastAsia" w:ascii="宋体" w:hAnsi="宋体" w:eastAsia="宋体" w:cs="宋体"/>
          <w:b/>
          <w:bCs/>
          <w:sz w:val="21"/>
          <w:szCs w:val="21"/>
          <w:highlight w:val="none"/>
        </w:rPr>
        <w:t xml:space="preserve">（只能填写三种其中的一种）</w:t>
      </w:r>
      <w:r>
        <w:rPr>
          <w:rFonts w:hint="eastAsia" w:ascii="宋体" w:hAnsi="宋体" w:eastAsia="宋体" w:cs="宋体"/>
          <w:sz w:val="21"/>
          <w:szCs w:val="21"/>
          <w:highlight w:val="none"/>
        </w:rPr>
        <w:t xml:space="preserve">。中小企业划分见《关于印发中小企业划型标准规定的通知》（工信部联企业〔2011〕300号) 。</w:t>
      </w:r>
      <w:r>
        <w:rPr>
          <w:rFonts w:hint="eastAsia" w:ascii="宋体" w:hAnsi="宋体" w:eastAsia="宋体" w:cs="宋体"/>
          <w:sz w:val="21"/>
          <w:szCs w:val="21"/>
          <w:highlight w:val="none"/>
        </w:rPr>
      </w:r>
      <w:r/>
    </w:p>
    <w:p>
      <w:pPr>
        <w:pStyle w:val="1197"/>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10.企业名称（盖章）⑫：加盖</w:t>
      </w:r>
      <w:r>
        <w:rPr>
          <w:rFonts w:hint="eastAsia" w:ascii="宋体" w:hAnsi="宋体" w:eastAsia="宋体" w:cs="宋体"/>
          <w:b/>
          <w:bCs/>
          <w:sz w:val="21"/>
          <w:szCs w:val="21"/>
          <w:highlight w:val="none"/>
        </w:rPr>
        <w:t xml:space="preserve">投标人或供应商</w:t>
      </w:r>
      <w:r>
        <w:rPr>
          <w:rFonts w:hint="eastAsia" w:ascii="宋体" w:hAnsi="宋体" w:eastAsia="宋体" w:cs="宋体"/>
          <w:sz w:val="21"/>
          <w:szCs w:val="21"/>
          <w:highlight w:val="none"/>
        </w:rPr>
        <w:t xml:space="preserve">CA电子公章。</w:t>
      </w:r>
      <w:r>
        <w:rPr>
          <w:rFonts w:hint="eastAsia" w:ascii="宋体" w:hAnsi="宋体" w:eastAsia="宋体" w:cs="宋体"/>
          <w:sz w:val="21"/>
          <w:szCs w:val="21"/>
          <w:highlight w:val="none"/>
        </w:rPr>
      </w:r>
      <w:r/>
    </w:p>
    <w:p>
      <w:pPr>
        <w:pStyle w:val="1197"/>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11.如是</w:t>
      </w:r>
      <w:r>
        <w:rPr>
          <w:rFonts w:hint="eastAsia" w:ascii="宋体" w:hAnsi="宋体" w:eastAsia="宋体" w:cs="宋体"/>
          <w:b/>
          <w:sz w:val="21"/>
          <w:szCs w:val="21"/>
          <w:highlight w:val="none"/>
        </w:rPr>
        <w:t xml:space="preserve">专门面向中小企业预留份额</w:t>
      </w:r>
      <w:r>
        <w:rPr>
          <w:rFonts w:hint="eastAsia" w:ascii="宋体" w:hAnsi="宋体" w:eastAsia="宋体" w:cs="宋体"/>
          <w:sz w:val="21"/>
          <w:szCs w:val="21"/>
          <w:highlight w:val="none"/>
        </w:rPr>
        <w:t xml:space="preserve">的采购项目，供应商未提供此声明函的，资格审查不予通过，作为</w:t>
      </w:r>
      <w:r>
        <w:rPr>
          <w:rFonts w:hint="eastAsia" w:ascii="宋体" w:hAnsi="宋体" w:eastAsia="宋体" w:cs="宋体"/>
          <w:b/>
          <w:sz w:val="21"/>
          <w:szCs w:val="21"/>
          <w:highlight w:val="none"/>
        </w:rPr>
        <w:t xml:space="preserve">无效投标（响应）</w:t>
      </w:r>
      <w:r>
        <w:rPr>
          <w:rFonts w:hint="eastAsia" w:ascii="宋体" w:hAnsi="宋体" w:eastAsia="宋体" w:cs="宋体"/>
          <w:sz w:val="21"/>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sz w:val="21"/>
          <w:szCs w:val="21"/>
          <w:highlight w:val="none"/>
        </w:rPr>
      </w:r>
      <w:r/>
    </w:p>
    <w:p>
      <w:pPr>
        <w:pStyle w:val="147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12.温馨提示</w:t>
      </w:r>
      <w:r>
        <w:rPr>
          <w:rFonts w:hint="eastAsia" w:ascii="宋体" w:hAnsi="宋体" w:eastAsia="宋体" w:cs="宋体"/>
          <w:sz w:val="21"/>
          <w:szCs w:val="21"/>
          <w:highlight w:val="none"/>
        </w:rPr>
      </w:r>
      <w:r/>
    </w:p>
    <w:p>
      <w:pPr>
        <w:pStyle w:val="147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（1）对于已纳入统计部门统计范围的企业，所属行业、从业人员、营业收入、资产总额、规模类型应与统计部门报表保持一致。</w:t>
      </w:r>
      <w:r>
        <w:rPr>
          <w:rFonts w:hint="eastAsia" w:ascii="宋体" w:hAnsi="宋体" w:eastAsia="宋体" w:cs="宋体"/>
          <w:sz w:val="21"/>
          <w:szCs w:val="21"/>
          <w:highlight w:val="none"/>
        </w:rPr>
      </w:r>
      <w:r/>
    </w:p>
    <w:p>
      <w:pPr>
        <w:pStyle w:val="147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sz w:val="21"/>
          <w:szCs w:val="21"/>
          <w:highlight w:val="none"/>
        </w:rPr>
      </w:r>
      <w:r/>
    </w:p>
    <w:p>
      <w:pPr>
        <w:pStyle w:val="147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sz w:val="21"/>
          <w:szCs w:val="21"/>
          <w:highlight w:val="none"/>
        </w:rPr>
      </w:r>
      <w:r/>
    </w:p>
    <w:p>
      <w:pPr>
        <w:pStyle w:val="147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hint="eastAsia" w:ascii="宋体" w:hAnsi="宋体" w:eastAsia="宋体" w:cs="宋体"/>
          <w:sz w:val="21"/>
          <w:szCs w:val="21"/>
          <w:highlight w:val="none"/>
        </w:rPr>
      </w:r>
      <w:r/>
    </w:p>
    <w:p>
      <w:pPr>
        <w:pStyle w:val="147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hint="eastAsia" w:ascii="宋体" w:hAnsi="宋体" w:eastAsia="宋体" w:cs="宋体"/>
          <w:sz w:val="21"/>
          <w:szCs w:val="21"/>
          <w:highlight w:val="none"/>
        </w:rPr>
      </w:r>
      <w:r/>
    </w:p>
    <w:p>
      <w:pPr>
        <w:pStyle w:val="147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sz w:val="21"/>
          <w:szCs w:val="21"/>
          <w:highlight w:val="none"/>
        </w:rPr>
      </w:r>
      <w:r/>
    </w:p>
    <w:p>
      <w:pPr>
        <w:pStyle w:val="1470"/>
        <w:ind w:firstLine="480"/>
        <w:spacing w:line="570" w:lineRule="exact"/>
        <w:rPr>
          <w:rFonts w:ascii="仿宋_GB2312" w:hAnsi="宋体" w:eastAsia="仿宋_GB2312" w:cs="黑体"/>
          <w:sz w:val="32"/>
          <w:szCs w:val="32"/>
          <w:highlight w:val="none"/>
        </w:rPr>
      </w:pPr>
      <w:r>
        <w:rPr>
          <w:rFonts w:hint="eastAsia" w:ascii="宋体" w:hAnsi="宋体" w:eastAsia="宋体" w:cs="宋体"/>
          <w:sz w:val="2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sz w:val="32"/>
          <w:szCs w:val="32"/>
          <w:highlight w:val="none"/>
        </w:rPr>
      </w:r>
      <w:r/>
    </w:p>
    <w:p>
      <w:pPr>
        <w:pStyle w:val="1197"/>
        <w:ind w:firstLine="420"/>
        <w:jc w:val="left"/>
        <w:rPr>
          <w:sz w:val="24"/>
          <w:highlight w:val="none"/>
        </w:rPr>
      </w:pPr>
      <w:r>
        <w:rPr>
          <w:sz w:val="24"/>
          <w:highlight w:val="none"/>
        </w:rPr>
      </w:r>
      <w:r/>
    </w:p>
    <w:p>
      <w:pPr>
        <w:pStyle w:val="1197"/>
        <w:spacing w:line="360" w:lineRule="auto"/>
        <w:rPr>
          <w:color w:val="000000"/>
          <w:sz w:val="24"/>
          <w:highlight w:val="none"/>
        </w:rPr>
      </w:pPr>
      <w:r>
        <w:rPr>
          <w:color w:val="000000"/>
          <w:sz w:val="24"/>
          <w:highlight w:val="none"/>
        </w:rPr>
      </w:r>
      <w:r/>
    </w:p>
    <w:p>
      <w:pPr>
        <w:pStyle w:val="1197"/>
        <w:jc w:val="both"/>
        <w:spacing w:before="240" w:after="240" w:line="360" w:lineRule="auto"/>
        <w:rPr>
          <w:color w:val="000000"/>
          <w:sz w:val="24"/>
          <w:szCs w:val="20"/>
          <w:highlight w:val="none"/>
        </w:rPr>
      </w:pPr>
      <w:r>
        <w:rPr>
          <w:color w:val="000000"/>
          <w:sz w:val="24"/>
          <w:szCs w:val="20"/>
          <w:highlight w:val="none"/>
        </w:rPr>
      </w:r>
      <w:r/>
    </w:p>
    <w:p>
      <w:pPr>
        <w:pStyle w:val="1199"/>
        <w:rPr>
          <w:color w:val="000000"/>
          <w:sz w:val="24"/>
          <w:szCs w:val="20"/>
        </w:rPr>
      </w:pPr>
      <w:r>
        <w:rPr>
          <w:color w:val="000000"/>
          <w:sz w:val="24"/>
          <w:szCs w:val="20"/>
        </w:rPr>
      </w:r>
      <w:r/>
    </w:p>
    <w:p>
      <w:pPr>
        <w:pStyle w:val="1197"/>
        <w:rPr>
          <w:color w:val="000000"/>
          <w:sz w:val="24"/>
          <w:szCs w:val="20"/>
        </w:rPr>
      </w:pPr>
      <w:r>
        <w:rPr>
          <w:color w:val="000000"/>
          <w:sz w:val="24"/>
          <w:szCs w:val="20"/>
        </w:rPr>
      </w:r>
      <w:r/>
    </w:p>
    <w:p>
      <w:pPr>
        <w:pStyle w:val="1197"/>
        <w:jc w:val="both"/>
        <w:spacing w:before="240" w:after="240" w:line="360" w:lineRule="auto"/>
        <w:rPr>
          <w:color w:val="000000"/>
          <w:sz w:val="24"/>
          <w:szCs w:val="20"/>
          <w:highlight w:val="none"/>
        </w:rPr>
      </w:pPr>
      <w:r>
        <w:rPr>
          <w:color w:val="000000"/>
          <w:sz w:val="24"/>
          <w:szCs w:val="20"/>
          <w:highlight w:val="none"/>
        </w:rPr>
      </w:r>
      <w:r/>
    </w:p>
    <w:p>
      <w:pPr>
        <w:pStyle w:val="1199"/>
        <w:rPr>
          <w:color w:val="000000"/>
          <w:sz w:val="24"/>
          <w:szCs w:val="20"/>
          <w:highlight w:val="none"/>
        </w:rPr>
      </w:pPr>
      <w:r>
        <w:rPr>
          <w:color w:val="000000"/>
          <w:sz w:val="24"/>
          <w:szCs w:val="20"/>
          <w:highlight w:val="none"/>
        </w:rPr>
      </w:r>
      <w:r/>
    </w:p>
    <w:p>
      <w:pPr>
        <w:pStyle w:val="1199"/>
        <w:jc w:val="both"/>
        <w:rPr>
          <w:color w:val="000000"/>
          <w:sz w:val="24"/>
          <w:szCs w:val="20"/>
          <w:highlight w:val="none"/>
        </w:rPr>
      </w:pPr>
      <w:r>
        <w:rPr>
          <w:color w:val="000000"/>
          <w:sz w:val="24"/>
          <w:szCs w:val="20"/>
          <w:highlight w:val="none"/>
        </w:rPr>
      </w:r>
      <w:r/>
    </w:p>
    <w:p>
      <w:pPr>
        <w:pStyle w:val="1197"/>
        <w:rPr>
          <w:highlight w:val="none"/>
        </w:rPr>
      </w:pPr>
      <w:r>
        <w:rPr>
          <w:highlight w:val="none"/>
        </w:rPr>
      </w:r>
      <w:r/>
    </w:p>
    <w:p>
      <w:pPr>
        <w:pStyle w:val="1197"/>
        <w:jc w:val="center"/>
        <w:rPr>
          <w:rFonts w:hint="eastAsia"/>
          <w:b/>
          <w:color w:val="000000"/>
          <w:sz w:val="32"/>
          <w:szCs w:val="32"/>
          <w:highlight w:val="none"/>
        </w:rPr>
      </w:pPr>
      <w:r>
        <w:rPr>
          <w:rFonts w:hint="eastAsia"/>
          <w:b/>
          <w:color w:val="000000"/>
          <w:sz w:val="32"/>
          <w:szCs w:val="32"/>
          <w:highlight w:val="none"/>
        </w:rPr>
      </w:r>
      <w:r/>
    </w:p>
    <w:p>
      <w:pPr>
        <w:pStyle w:val="1197"/>
        <w:jc w:val="center"/>
        <w:rPr>
          <w:b/>
          <w:color w:val="000000"/>
          <w:sz w:val="36"/>
          <w:szCs w:val="36"/>
          <w:highlight w:val="none"/>
        </w:rPr>
      </w:pPr>
      <w:r>
        <w:rPr>
          <w:rFonts w:hint="eastAsia"/>
          <w:b/>
          <w:color w:val="000000"/>
          <w:sz w:val="32"/>
          <w:szCs w:val="32"/>
          <w:highlight w:val="none"/>
        </w:rPr>
        <w:t xml:space="preserve">残疾人福利性单位声明函格式</w:t>
      </w:r>
      <w:r>
        <w:rPr>
          <w:b/>
          <w:color w:val="000000"/>
          <w:sz w:val="32"/>
          <w:szCs w:val="32"/>
          <w:highlight w:val="none"/>
        </w:rPr>
        <w:t xml:space="preserve"> </w:t>
      </w:r>
      <w:r>
        <w:rPr>
          <w:b/>
          <w:color w:val="000000"/>
          <w:sz w:val="36"/>
          <w:szCs w:val="36"/>
          <w:highlight w:val="none"/>
        </w:rPr>
        <w:t xml:space="preserve">      </w:t>
      </w:r>
      <w:r>
        <w:rPr>
          <w:b/>
          <w:color w:val="000000"/>
          <w:sz w:val="36"/>
          <w:szCs w:val="36"/>
          <w:highlight w:val="none"/>
        </w:rPr>
      </w:r>
      <w:r/>
    </w:p>
    <w:p>
      <w:pPr>
        <w:pStyle w:val="1197"/>
        <w:jc w:val="center"/>
        <w:rPr>
          <w:color w:val="000000"/>
          <w:sz w:val="36"/>
          <w:szCs w:val="36"/>
          <w:highlight w:val="none"/>
        </w:rPr>
      </w:pPr>
      <w:r>
        <w:rPr>
          <w:color w:val="000000"/>
          <w:sz w:val="36"/>
          <w:szCs w:val="36"/>
          <w:highlight w:val="none"/>
        </w:rPr>
      </w:r>
      <w:r/>
    </w:p>
    <w:p>
      <w:pPr>
        <w:pStyle w:val="1197"/>
        <w:ind w:firstLine="504"/>
        <w:spacing w:line="588"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sz w:val="21"/>
          <w:szCs w:val="21"/>
          <w:highlight w:val="none"/>
        </w:rPr>
        <w:t xml:space="preserve">〔2017〕 141</w:t>
      </w:r>
      <w:r>
        <w:rPr>
          <w:rFonts w:hint="eastAsia" w:ascii="宋体" w:hAnsi="宋体" w:eastAsia="宋体" w:cs="宋体"/>
          <w:spacing w:val="6"/>
          <w:sz w:val="21"/>
          <w:szCs w:val="21"/>
          <w:highlight w:val="none"/>
        </w:rPr>
        <w:t xml:space="preserve">号）的规定，本单位</w:t>
      </w:r>
      <w:r>
        <w:rPr>
          <w:rFonts w:hint="eastAsia" w:ascii="宋体" w:hAnsi="宋体" w:eastAsia="宋体" w:cs="宋体"/>
          <w:b/>
          <w:sz w:val="21"/>
          <w:szCs w:val="21"/>
          <w:highlight w:val="none"/>
        </w:rPr>
        <w:t xml:space="preserve">（请进行勾选）</w:t>
      </w:r>
      <w:r>
        <w:rPr>
          <w:rFonts w:hint="eastAsia" w:ascii="宋体" w:hAnsi="宋体" w:eastAsia="宋体" w:cs="宋体"/>
          <w:spacing w:val="6"/>
          <w:sz w:val="21"/>
          <w:szCs w:val="21"/>
          <w:highlight w:val="none"/>
        </w:rPr>
        <w:t xml:space="preserve">：</w:t>
      </w:r>
      <w:r>
        <w:rPr>
          <w:rFonts w:hint="eastAsia" w:ascii="宋体" w:hAnsi="宋体" w:eastAsia="宋体" w:cs="宋体"/>
          <w:spacing w:val="6"/>
          <w:sz w:val="21"/>
          <w:szCs w:val="21"/>
          <w:highlight w:val="none"/>
        </w:rPr>
      </w:r>
      <w:r/>
    </w:p>
    <w:p>
      <w:pPr>
        <w:pStyle w:val="1197"/>
        <w:ind w:firstLine="482"/>
        <w:spacing w:line="588" w:lineRule="exact"/>
        <w:rPr>
          <w:rFonts w:hint="eastAsia" w:ascii="宋体" w:hAnsi="宋体" w:eastAsia="宋体" w:cs="宋体"/>
          <w:b/>
          <w:spacing w:val="6"/>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pacing w:val="6"/>
          <w:sz w:val="21"/>
          <w:szCs w:val="21"/>
          <w:highlight w:val="none"/>
        </w:rPr>
        <w:t xml:space="preserve">不属于符合条件的残疾人福利性单位。</w:t>
      </w:r>
      <w:r>
        <w:rPr>
          <w:rFonts w:hint="eastAsia" w:ascii="宋体" w:hAnsi="宋体" w:eastAsia="宋体" w:cs="宋体"/>
          <w:b/>
          <w:spacing w:val="6"/>
          <w:sz w:val="21"/>
          <w:szCs w:val="21"/>
          <w:highlight w:val="none"/>
        </w:rPr>
      </w:r>
      <w:r/>
    </w:p>
    <w:p>
      <w:pPr>
        <w:pStyle w:val="1197"/>
        <w:ind w:firstLine="482"/>
        <w:spacing w:line="588" w:lineRule="exact"/>
        <w:rPr>
          <w:rFonts w:hint="eastAsia" w:ascii="宋体" w:hAnsi="宋体" w:eastAsia="宋体" w:cs="宋体"/>
          <w:spacing w:val="6"/>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pacing w:val="6"/>
          <w:sz w:val="21"/>
          <w:szCs w:val="21"/>
          <w:highlight w:val="none"/>
        </w:rPr>
        <w:t xml:space="preserve">属于符合条件的残疾人福利性单位，</w:t>
      </w:r>
      <w:r>
        <w:rPr>
          <w:rFonts w:hint="eastAsia" w:ascii="宋体" w:hAnsi="宋体" w:eastAsia="宋体" w:cs="宋体"/>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highlight w:val="none"/>
        </w:rPr>
      </w:r>
      <w:r/>
    </w:p>
    <w:p>
      <w:pPr>
        <w:pStyle w:val="1197"/>
        <w:ind w:firstLine="446"/>
        <w:spacing w:line="588" w:lineRule="exact"/>
        <w:rPr>
          <w:rFonts w:hint="eastAsia" w:ascii="宋体" w:hAnsi="宋体" w:eastAsia="宋体" w:cs="宋体"/>
          <w:spacing w:val="6"/>
          <w:sz w:val="21"/>
          <w:szCs w:val="21"/>
          <w:highlight w:val="none"/>
        </w:rPr>
      </w:pPr>
      <w:r>
        <w:rPr>
          <w:rFonts w:hint="eastAsia" w:ascii="宋体" w:hAnsi="宋体" w:eastAsia="宋体" w:cs="宋体"/>
          <w:b/>
          <w:spacing w:val="6"/>
          <w:sz w:val="21"/>
          <w:szCs w:val="21"/>
          <w:highlight w:val="none"/>
        </w:rPr>
        <w:t xml:space="preserve">本单位对上述声明的真实性负责。如有虚假，将依法承担相应责任。</w:t>
      </w:r>
      <w:r>
        <w:rPr>
          <w:rFonts w:hint="eastAsia" w:ascii="宋体" w:hAnsi="宋体" w:eastAsia="宋体" w:cs="宋体"/>
          <w:spacing w:val="6"/>
          <w:sz w:val="21"/>
          <w:szCs w:val="21"/>
          <w:highlight w:val="none"/>
        </w:rPr>
      </w:r>
      <w:r/>
    </w:p>
    <w:p>
      <w:pPr>
        <w:pStyle w:val="1197"/>
        <w:ind w:firstLine="444"/>
        <w:spacing w:line="588"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1197"/>
        <w:ind w:firstLine="444"/>
        <w:spacing w:line="588"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1197"/>
        <w:ind w:right="1560" w:firstLine="444"/>
        <w:jc w:val="center"/>
        <w:spacing w:line="588" w:lineRule="exact"/>
        <w:tabs>
          <w:tab w:val="left" w:pos="4860" w:leader="none"/>
        </w:tabs>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               单位名称（盖章）：</w:t>
      </w:r>
      <w:r>
        <w:rPr>
          <w:rFonts w:hint="eastAsia" w:ascii="宋体" w:hAnsi="宋体" w:eastAsia="宋体" w:cs="宋体"/>
          <w:spacing w:val="6"/>
          <w:sz w:val="21"/>
          <w:szCs w:val="21"/>
          <w:highlight w:val="none"/>
        </w:rPr>
      </w:r>
      <w:r/>
    </w:p>
    <w:p>
      <w:pPr>
        <w:pStyle w:val="1197"/>
        <w:ind w:right="1560" w:firstLine="444"/>
        <w:jc w:val="center"/>
        <w:spacing w:line="588" w:lineRule="exact"/>
        <w:tabs>
          <w:tab w:val="left" w:pos="4860" w:leader="none"/>
        </w:tabs>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       日  期：</w:t>
      </w:r>
      <w:r>
        <w:rPr>
          <w:rFonts w:hint="eastAsia" w:ascii="宋体" w:hAnsi="宋体" w:eastAsia="宋体" w:cs="宋体"/>
          <w:spacing w:val="6"/>
          <w:sz w:val="21"/>
          <w:szCs w:val="21"/>
          <w:highlight w:val="none"/>
        </w:rPr>
      </w:r>
      <w:r/>
    </w:p>
    <w:p>
      <w:pPr>
        <w:pStyle w:val="1197"/>
        <w:jc w:val="left"/>
        <w:widowControl/>
        <w:rPr>
          <w:color w:val="000000"/>
          <w:sz w:val="24"/>
          <w:szCs w:val="20"/>
          <w:highlight w:val="none"/>
        </w:rPr>
      </w:pPr>
      <w:r>
        <w:rPr>
          <w:color w:val="000000"/>
          <w:sz w:val="24"/>
          <w:szCs w:val="20"/>
          <w:highlight w:val="none"/>
        </w:rPr>
        <w:br w:type="page" w:clear="all"/>
      </w:r>
      <w:bookmarkStart w:id="675" w:name="_Toc226965747"/>
      <w:r/>
      <w:bookmarkStart w:id="676" w:name="_Toc265228395"/>
      <w:r/>
      <w:bookmarkStart w:id="677" w:name="_Toc305158825"/>
      <w:r/>
      <w:bookmarkStart w:id="678" w:name="_Toc142311059"/>
      <w:r/>
      <w:bookmarkStart w:id="679" w:name="_Toc226965830"/>
      <w:r/>
      <w:bookmarkStart w:id="680" w:name="_Ref467988705"/>
      <w:r/>
      <w:bookmarkStart w:id="681" w:name="_Toc520356218"/>
      <w:r/>
      <w:bookmarkStart w:id="682" w:name="_Toc226309801"/>
      <w:r/>
      <w:bookmarkStart w:id="683" w:name="_Toc150480795"/>
      <w:r/>
      <w:bookmarkStart w:id="684" w:name="_Toc226337253"/>
      <w:r/>
      <w:bookmarkStart w:id="685" w:name="_Toc127151557"/>
      <w:r/>
      <w:bookmarkStart w:id="686" w:name="_Toc264969247"/>
      <w:r/>
      <w:bookmarkStart w:id="687" w:name="_Toc195842922"/>
      <w:r/>
      <w:bookmarkStart w:id="688" w:name="_Toc305158899"/>
      <w:r/>
      <w:bookmarkStart w:id="689" w:name="_Toc480942350"/>
      <w:r/>
      <w:bookmarkStart w:id="690" w:name="_Toc150774762"/>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响应函（实质性格式）</w:t>
      </w:r>
      <w:r>
        <w:rPr>
          <w:color w:val="000000"/>
          <w:sz w:val="24"/>
          <w:szCs w:val="20"/>
          <w:highlight w:val="none"/>
        </w:rPr>
      </w:r>
      <w:r/>
    </w:p>
    <w:p>
      <w:pPr>
        <w:pStyle w:val="1197"/>
        <w:spacing w:line="360" w:lineRule="auto"/>
        <w:tabs>
          <w:tab w:val="left" w:pos="5580" w:leader="none"/>
        </w:tabs>
        <w:rPr>
          <w:color w:val="000000"/>
          <w:sz w:val="24"/>
          <w:highlight w:val="none"/>
        </w:rPr>
      </w:pPr>
      <w:r>
        <w:rPr>
          <w:color w:val="000000"/>
          <w:sz w:val="24"/>
          <w:highlight w:val="none"/>
        </w:rPr>
      </w:r>
      <w:r/>
    </w:p>
    <w:p>
      <w:pPr>
        <w:pStyle w:val="1197"/>
        <w:jc w:val="center"/>
        <w:spacing w:line="360" w:lineRule="auto"/>
        <w:rPr>
          <w:b/>
          <w:color w:val="000000"/>
          <w:sz w:val="32"/>
          <w:szCs w:val="32"/>
          <w:highlight w:val="none"/>
        </w:rPr>
      </w:pPr>
      <w:r>
        <w:rPr>
          <w:rFonts w:hint="eastAsia"/>
          <w:b/>
          <w:color w:val="000000"/>
          <w:sz w:val="32"/>
          <w:szCs w:val="32"/>
          <w:highlight w:val="none"/>
        </w:rPr>
        <w:t xml:space="preserve">响应函</w:t>
      </w:r>
      <w:r>
        <w:rPr>
          <w:b/>
          <w:color w:val="000000"/>
          <w:sz w:val="32"/>
          <w:szCs w:val="32"/>
          <w:highlight w:val="none"/>
        </w:rPr>
      </w:r>
      <w:r/>
    </w:p>
    <w:p>
      <w:pPr>
        <w:pStyle w:val="119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（采购人或采购代理机构）</w:t>
      </w:r>
      <w:r>
        <w:rPr>
          <w:rFonts w:hint="eastAsia" w:ascii="宋体" w:hAnsi="宋体" w:eastAsia="宋体" w:cs="宋体"/>
          <w:color w:val="000000"/>
          <w:sz w:val="21"/>
          <w:szCs w:val="21"/>
          <w:highlight w:val="none"/>
        </w:rPr>
      </w:r>
      <w:r/>
    </w:p>
    <w:p>
      <w:pPr>
        <w:pStyle w:val="119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我方参加你方就___________（项目名称，项目编号/包号）组织的政府采购活动，并对此项目进行响应。</w:t>
      </w:r>
      <w:r>
        <w:rPr>
          <w:rFonts w:hint="eastAsia" w:ascii="宋体" w:hAnsi="宋体" w:eastAsia="宋体" w:cs="宋体"/>
          <w:color w:val="000000"/>
          <w:sz w:val="21"/>
          <w:szCs w:val="21"/>
          <w:highlight w:val="none"/>
        </w:rPr>
      </w:r>
      <w:r/>
    </w:p>
    <w:p>
      <w:pPr>
        <w:pStyle w:val="1197"/>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我方已详细审查全部磋商文件，自愿参与响应并承诺如下：</w:t>
      </w:r>
      <w:r>
        <w:rPr>
          <w:rFonts w:hint="eastAsia" w:ascii="宋体" w:hAnsi="宋体" w:eastAsia="宋体" w:cs="宋体"/>
          <w:color w:val="000000"/>
          <w:sz w:val="21"/>
          <w:szCs w:val="21"/>
          <w:highlight w:val="none"/>
        </w:rPr>
      </w:r>
      <w:r/>
    </w:p>
    <w:p>
      <w:pPr>
        <w:pStyle w:val="1197"/>
        <w:ind w:left="360" w:firstLine="63"/>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（1）本响应有效期为自提交响应文件的截止之日起</w:t>
      </w:r>
      <w:r>
        <w:rPr>
          <w:rFonts w:hint="eastAsia" w:ascii="宋体" w:hAnsi="宋体" w:eastAsia="宋体" w:cs="宋体"/>
          <w:sz w:val="21"/>
          <w:szCs w:val="21"/>
          <w:highlight w:val="none"/>
        </w:rPr>
        <w:t xml:space="preserve">60</w:t>
      </w:r>
      <w:r>
        <w:rPr>
          <w:rFonts w:hint="eastAsia" w:ascii="宋体" w:hAnsi="宋体" w:eastAsia="宋体" w:cs="宋体"/>
          <w:color w:val="000000"/>
          <w:sz w:val="21"/>
          <w:szCs w:val="21"/>
          <w:highlight w:val="none"/>
        </w:rPr>
        <w:t xml:space="preserve">个日历日。</w:t>
      </w:r>
      <w:r>
        <w:rPr>
          <w:rFonts w:hint="eastAsia" w:ascii="宋体" w:hAnsi="宋体" w:eastAsia="宋体" w:cs="宋体"/>
          <w:color w:val="000000"/>
          <w:sz w:val="21"/>
          <w:szCs w:val="21"/>
          <w:highlight w:val="none"/>
        </w:rPr>
      </w:r>
      <w:r/>
    </w:p>
    <w:p>
      <w:pPr>
        <w:pStyle w:val="1197"/>
        <w:ind w:left="360" w:firstLine="63"/>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（2）除合同条款及采购需求偏离表列出的偏离外，我方响应磋商文件的全部要求。</w:t>
      </w:r>
      <w:r>
        <w:rPr>
          <w:rFonts w:hint="eastAsia" w:ascii="宋体" w:hAnsi="宋体" w:eastAsia="宋体" w:cs="宋体"/>
          <w:color w:val="000000"/>
          <w:sz w:val="21"/>
          <w:szCs w:val="21"/>
          <w:highlight w:val="none"/>
        </w:rPr>
      </w:r>
      <w:r/>
    </w:p>
    <w:p>
      <w:pPr>
        <w:pStyle w:val="1197"/>
        <w:ind w:firstLine="36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（3）我方已提供的全部文件资料是真实、准确的，并对此承担一切法律后果。</w:t>
      </w:r>
      <w:r>
        <w:rPr>
          <w:rFonts w:hint="eastAsia" w:ascii="宋体" w:hAnsi="宋体" w:eastAsia="宋体" w:cs="宋体"/>
          <w:color w:val="000000"/>
          <w:sz w:val="21"/>
          <w:szCs w:val="21"/>
          <w:highlight w:val="none"/>
        </w:rPr>
      </w:r>
      <w:r/>
    </w:p>
    <w:p>
      <w:pPr>
        <w:pStyle w:val="1197"/>
        <w:ind w:firstLine="36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（4）如我方中标，我方将在法律规定的期限内与你方签订合同，按照磋商文件要求提交履约保证金，并在合同约定的期限内完成合同规定的全部义务。</w:t>
      </w:r>
      <w:r>
        <w:rPr>
          <w:rFonts w:hint="eastAsia" w:ascii="宋体" w:hAnsi="宋体" w:eastAsia="宋体" w:cs="宋体"/>
          <w:color w:val="000000"/>
          <w:sz w:val="21"/>
          <w:szCs w:val="21"/>
          <w:highlight w:val="none"/>
        </w:rPr>
      </w:r>
      <w:r/>
    </w:p>
    <w:p>
      <w:pPr>
        <w:pStyle w:val="1197"/>
        <w:ind w:lef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其他补充条款（如有）：___________。</w:t>
      </w:r>
      <w:r>
        <w:rPr>
          <w:rFonts w:hint="eastAsia" w:ascii="宋体" w:hAnsi="宋体" w:eastAsia="宋体" w:cs="宋体"/>
          <w:color w:val="000000"/>
          <w:sz w:val="21"/>
          <w:szCs w:val="21"/>
          <w:highlight w:val="none"/>
        </w:rPr>
      </w:r>
      <w:r/>
    </w:p>
    <w:p>
      <w:pPr>
        <w:pStyle w:val="11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与本响应有关的一切正式往来信函请寄：</w:t>
      </w:r>
      <w:r>
        <w:rPr>
          <w:rFonts w:hint="eastAsia" w:ascii="宋体" w:hAnsi="宋体" w:eastAsia="宋体" w:cs="宋体"/>
          <w:color w:val="000000"/>
          <w:sz w:val="21"/>
          <w:szCs w:val="21"/>
          <w:highlight w:val="none"/>
        </w:rPr>
      </w:r>
      <w:r/>
    </w:p>
    <w:p>
      <w:pPr>
        <w:pStyle w:val="1197"/>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地址_________________________     传真____________________________</w:t>
      </w:r>
      <w:r>
        <w:rPr>
          <w:rFonts w:hint="eastAsia" w:ascii="宋体" w:hAnsi="宋体" w:eastAsia="宋体" w:cs="宋体"/>
          <w:color w:val="000000"/>
          <w:sz w:val="21"/>
          <w:szCs w:val="21"/>
          <w:highlight w:val="none"/>
        </w:rPr>
      </w:r>
      <w:r/>
    </w:p>
    <w:p>
      <w:pPr>
        <w:pStyle w:val="1197"/>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电话_________________________     电子函件________________________</w:t>
      </w:r>
      <w:r>
        <w:rPr>
          <w:rFonts w:hint="eastAsia" w:ascii="宋体" w:hAnsi="宋体" w:eastAsia="宋体" w:cs="宋体"/>
          <w:color w:val="000000"/>
          <w:sz w:val="21"/>
          <w:szCs w:val="21"/>
          <w:highlight w:val="none"/>
        </w:rPr>
      </w:r>
      <w:r/>
    </w:p>
    <w:p>
      <w:pPr>
        <w:pStyle w:val="1197"/>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供应商名称（加盖公章） ___________</w:t>
      </w:r>
      <w:r>
        <w:rPr>
          <w:rFonts w:hint="eastAsia" w:ascii="宋体" w:hAnsi="宋体" w:eastAsia="宋体" w:cs="宋体"/>
          <w:color w:val="000000"/>
          <w:sz w:val="21"/>
          <w:szCs w:val="21"/>
          <w:highlight w:val="none"/>
        </w:rPr>
      </w:r>
      <w:r/>
    </w:p>
    <w:p>
      <w:pPr>
        <w:pStyle w:val="1197"/>
        <w:ind w:left="420"/>
        <w:spacing w:line="360" w:lineRule="auto"/>
        <w:tabs>
          <w:tab w:val="left" w:pos="5580" w:leader="none"/>
        </w:tabs>
        <w:rPr>
          <w:color w:val="000000"/>
          <w:sz w:val="24"/>
          <w:szCs w:val="20"/>
          <w:highlight w:val="none"/>
        </w:rPr>
      </w:pPr>
      <w:r>
        <w:rPr>
          <w:rFonts w:hint="eastAsia" w:ascii="宋体" w:hAnsi="宋体" w:eastAsia="宋体" w:cs="宋体"/>
          <w:color w:val="000000"/>
          <w:sz w:val="21"/>
          <w:szCs w:val="21"/>
          <w:highlight w:val="none"/>
        </w:rPr>
        <w:t xml:space="preserve">日期：_____年______月______日   </w:t>
      </w:r>
      <w:r>
        <w:rPr>
          <w:color w:val="000000"/>
          <w:sz w:val="24"/>
          <w:szCs w:val="20"/>
          <w:highlight w:val="none"/>
        </w:rPr>
        <w:t xml:space="preserve"> </w:t>
      </w:r>
      <w:r>
        <w:rPr>
          <w:color w:val="000000"/>
          <w:sz w:val="24"/>
          <w:szCs w:val="20"/>
          <w:highlight w:val="none"/>
        </w:rPr>
      </w:r>
      <w:r/>
    </w:p>
    <w:p>
      <w:pPr>
        <w:pStyle w:val="1197"/>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197"/>
        <w:jc w:val="left"/>
        <w:widowControl/>
        <w:rPr>
          <w:rFonts w:hint="eastAsia"/>
          <w:color w:val="000000"/>
          <w:sz w:val="21"/>
          <w:szCs w:val="21"/>
          <w:highlight w:val="none"/>
        </w:rPr>
      </w:pPr>
      <w:r/>
      <w:bookmarkStart w:id="691" w:name="_Hlt520356243"/>
      <w:r/>
      <w:bookmarkEnd w:id="691"/>
      <w:r/>
      <w:bookmarkStart w:id="692" w:name="_Hlt520355938"/>
      <w:r/>
      <w:bookmarkEnd w:id="692"/>
      <w:r>
        <w:rPr>
          <w:color w:val="000000"/>
          <w:sz w:val="24"/>
          <w:highlight w:val="none"/>
        </w:rPr>
        <w:br w:type="page" w:clear="all"/>
      </w:r>
      <w:r>
        <w:rPr>
          <w:rFonts w:hint="eastAsia"/>
          <w:color w:val="000000"/>
          <w:sz w:val="21"/>
          <w:szCs w:val="21"/>
          <w:highlight w:val="none"/>
        </w:rPr>
      </w:r>
      <w:r/>
    </w:p>
    <w:p>
      <w:pPr>
        <w:pStyle w:val="119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法定代表人资格证明书（实质性格式）</w:t>
      </w:r>
      <w:r>
        <w:rPr>
          <w:rFonts w:hint="eastAsia" w:ascii="宋体" w:hAnsi="宋体" w:eastAsia="宋体" w:cs="宋体"/>
          <w:color w:val="000000"/>
          <w:sz w:val="21"/>
          <w:szCs w:val="21"/>
          <w:highlight w:val="none"/>
        </w:rPr>
      </w:r>
      <w:r/>
    </w:p>
    <w:p>
      <w:pPr>
        <w:pStyle w:val="1197"/>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197"/>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197"/>
        <w:spacing w:line="560" w:lineRule="exact"/>
        <w:rPr>
          <w:rFonts w:ascii="宋体" w:hAnsi="宋体"/>
          <w:sz w:val="21"/>
          <w:szCs w:val="21"/>
          <w:highlight w:val="none"/>
        </w:rPr>
      </w:pPr>
      <w:r>
        <w:rPr>
          <w:rFonts w:hint="eastAsia" w:ascii="宋体" w:hAnsi="宋体"/>
          <w:sz w:val="21"/>
          <w:szCs w:val="21"/>
          <w:highlight w:val="none"/>
        </w:rPr>
        <w:t xml:space="preserve">单位名称:</w:t>
      </w:r>
      <w:r>
        <w:rPr>
          <w:rFonts w:ascii="宋体" w:hAnsi="宋体"/>
          <w:sz w:val="21"/>
          <w:szCs w:val="21"/>
          <w:highlight w:val="none"/>
        </w:rPr>
      </w:r>
      <w:r/>
    </w:p>
    <w:p>
      <w:pPr>
        <w:pStyle w:val="1197"/>
        <w:spacing w:line="560" w:lineRule="exact"/>
        <w:rPr>
          <w:rFonts w:ascii="宋体" w:hAnsi="宋体"/>
          <w:sz w:val="21"/>
          <w:szCs w:val="21"/>
          <w:highlight w:val="none"/>
        </w:rPr>
      </w:pPr>
      <w:r>
        <w:rPr>
          <w:rFonts w:hint="eastAsia" w:ascii="宋体" w:hAnsi="宋体"/>
          <w:sz w:val="21"/>
          <w:szCs w:val="21"/>
          <w:highlight w:val="none"/>
        </w:rPr>
        <w:t xml:space="preserve">地址:</w:t>
      </w:r>
      <w:r>
        <w:rPr>
          <w:rFonts w:ascii="宋体" w:hAnsi="宋体"/>
          <w:sz w:val="21"/>
          <w:szCs w:val="21"/>
          <w:highlight w:val="none"/>
        </w:rPr>
      </w:r>
      <w:r/>
    </w:p>
    <w:p>
      <w:pPr>
        <w:pStyle w:val="1197"/>
        <w:spacing w:line="560" w:lineRule="exact"/>
        <w:rPr>
          <w:rFonts w:ascii="宋体" w:hAnsi="宋体"/>
          <w:sz w:val="21"/>
          <w:szCs w:val="21"/>
          <w:highlight w:val="none"/>
        </w:rPr>
      </w:pPr>
      <w:r>
        <w:rPr>
          <w:rFonts w:hint="eastAsia" w:ascii="宋体" w:hAnsi="宋体"/>
          <w:sz w:val="21"/>
          <w:szCs w:val="21"/>
          <w:highlight w:val="none"/>
        </w:rPr>
        <w:t xml:space="preserve">姓名:     性别:       年龄:      职务:</w:t>
      </w:r>
      <w:r>
        <w:rPr>
          <w:rFonts w:ascii="宋体" w:hAnsi="宋体"/>
          <w:sz w:val="21"/>
          <w:szCs w:val="21"/>
          <w:highlight w:val="none"/>
        </w:rPr>
      </w:r>
      <w:r/>
    </w:p>
    <w:p>
      <w:pPr>
        <w:pStyle w:val="1197"/>
        <w:spacing w:line="560" w:lineRule="exact"/>
        <w:rPr>
          <w:rFonts w:ascii="宋体" w:hAnsi="宋体"/>
          <w:sz w:val="21"/>
          <w:szCs w:val="21"/>
          <w:highlight w:val="none"/>
        </w:rPr>
      </w:pPr>
      <w:r>
        <w:rPr>
          <w:rFonts w:hint="eastAsia" w:ascii="宋体" w:hAnsi="宋体"/>
          <w:sz w:val="21"/>
          <w:szCs w:val="21"/>
          <w:highlight w:val="none"/>
        </w:rPr>
        <w:t xml:space="preserve">系</w:t>
      </w:r>
      <w:r>
        <w:rPr>
          <w:rFonts w:hint="eastAsia" w:ascii="宋体" w:hAnsi="宋体"/>
          <w:sz w:val="21"/>
          <w:szCs w:val="21"/>
          <w:highlight w:val="none"/>
          <w:u w:val="single"/>
        </w:rPr>
        <w:t xml:space="preserve">（供应商名称）</w:t>
      </w:r>
      <w:r>
        <w:rPr>
          <w:rFonts w:hint="eastAsia" w:ascii="宋体" w:hAnsi="宋体"/>
          <w:sz w:val="21"/>
          <w:szCs w:val="21"/>
          <w:highlight w:val="none"/>
        </w:rPr>
        <w:t xml:space="preserve">的法定代表人。为参与</w:t>
      </w:r>
      <w:r>
        <w:rPr>
          <w:rFonts w:hint="eastAsia" w:ascii="宋体" w:hAnsi="宋体"/>
          <w:sz w:val="21"/>
          <w:szCs w:val="21"/>
          <w:highlight w:val="none"/>
          <w:u w:val="single"/>
        </w:rPr>
        <w:t xml:space="preserve">（项目名称）</w:t>
      </w:r>
      <w:r>
        <w:rPr>
          <w:rFonts w:hint="eastAsia" w:ascii="宋体" w:hAnsi="宋体"/>
          <w:sz w:val="21"/>
          <w:szCs w:val="21"/>
          <w:highlight w:val="none"/>
        </w:rPr>
        <w:t xml:space="preserve">的政府采购活动，</w:t>
      </w:r>
      <w:r>
        <w:rPr>
          <w:rFonts w:ascii="宋体" w:hAnsi="宋体"/>
          <w:color w:val="000000"/>
          <w:sz w:val="21"/>
          <w:szCs w:val="21"/>
          <w:highlight w:val="none"/>
        </w:rPr>
        <w:t xml:space="preserve">签署、澄清确认、递交、撤回、修改</w:t>
      </w:r>
      <w:r>
        <w:rPr>
          <w:rFonts w:hint="eastAsia" w:ascii="宋体" w:hAnsi="宋体"/>
          <w:sz w:val="21"/>
          <w:szCs w:val="21"/>
          <w:highlight w:val="none"/>
        </w:rPr>
        <w:t xml:space="preserve">上述项目的响应文件、进行合同磋商、签署合同和处理与之有关的一切事务。</w:t>
      </w:r>
      <w:r>
        <w:rPr>
          <w:rFonts w:ascii="宋体" w:hAnsi="宋体"/>
          <w:sz w:val="21"/>
          <w:szCs w:val="21"/>
          <w:highlight w:val="none"/>
        </w:rPr>
      </w:r>
      <w:r/>
    </w:p>
    <w:p>
      <w:pPr>
        <w:pStyle w:val="1197"/>
        <w:spacing w:line="560" w:lineRule="exact"/>
        <w:rPr>
          <w:rFonts w:ascii="宋体" w:hAnsi="宋体"/>
          <w:sz w:val="21"/>
          <w:szCs w:val="21"/>
          <w:highlight w:val="none"/>
        </w:rPr>
      </w:pPr>
      <w:r>
        <w:rPr>
          <w:rFonts w:hint="eastAsia" w:ascii="宋体" w:hAnsi="宋体"/>
          <w:sz w:val="21"/>
          <w:szCs w:val="21"/>
          <w:highlight w:val="none"/>
        </w:rPr>
        <w:t xml:space="preserve">特此证明。</w:t>
      </w:r>
      <w:r>
        <w:rPr>
          <w:rFonts w:ascii="宋体" w:hAnsi="宋体"/>
          <w:sz w:val="21"/>
          <w:szCs w:val="21"/>
          <w:highlight w:val="none"/>
        </w:rPr>
      </w:r>
      <w:r/>
    </w:p>
    <w:p>
      <w:pPr>
        <w:pStyle w:val="1197"/>
        <w:spacing w:line="560" w:lineRule="exact"/>
        <w:rPr>
          <w:rFonts w:ascii="宋体" w:hAnsi="宋体"/>
          <w:sz w:val="21"/>
          <w:szCs w:val="21"/>
          <w:highlight w:val="none"/>
        </w:rPr>
      </w:pPr>
      <w:r>
        <w:rPr>
          <w:rFonts w:ascii="宋体" w:hAnsi="宋体"/>
          <w:sz w:val="21"/>
          <w:szCs w:val="21"/>
          <w:highlight w:val="none"/>
        </w:rPr>
      </w:r>
      <w:r/>
    </w:p>
    <w:p>
      <w:pPr>
        <w:pStyle w:val="1229"/>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w:t>
      </w:r>
      <w:r>
        <w:rPr>
          <w:rFonts w:hint="eastAsia"/>
          <w:spacing w:val="-3"/>
          <w:sz w:val="21"/>
          <w:szCs w:val="21"/>
          <w:highlight w:val="none"/>
        </w:rPr>
        <w:t xml:space="preserve">份</w:t>
      </w:r>
      <w:r>
        <w:rPr>
          <w:spacing w:val="-3"/>
          <w:sz w:val="21"/>
          <w:szCs w:val="21"/>
          <w:highlight w:val="none"/>
        </w:rPr>
        <w:t xml:space="preserve">证正反面</w:t>
      </w:r>
      <w:r>
        <w:rPr>
          <w:rFonts w:hint="eastAsia"/>
          <w:spacing w:val="-3"/>
          <w:sz w:val="21"/>
          <w:szCs w:val="21"/>
          <w:highlight w:val="none"/>
        </w:rPr>
        <w:t xml:space="preserve">电子</w:t>
      </w:r>
      <w:r>
        <w:rPr>
          <w:spacing w:val="-3"/>
          <w:sz w:val="21"/>
          <w:szCs w:val="21"/>
          <w:highlight w:val="none"/>
        </w:rPr>
        <w:t xml:space="preserve">件</w:t>
      </w:r>
      <w:r>
        <w:rPr>
          <w:rFonts w:hint="eastAsia"/>
          <w:spacing w:val="-3"/>
          <w:sz w:val="21"/>
          <w:szCs w:val="21"/>
          <w:highlight w:val="none"/>
        </w:rPr>
        <w:t xml:space="preserve">。</w:t>
      </w:r>
      <w:r>
        <w:rPr>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97"/>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197"/>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197"/>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tc>
        <w:tc>
          <w:tcPr>
            <w:tcW w:w="4536" w:type="dxa"/>
            <w:vAlign w:val="top"/>
            <w:textDirection w:val="lrTb"/>
            <w:noWrap w:val="false"/>
          </w:tcPr>
          <w:p>
            <w:pPr>
              <w:pStyle w:val="1197"/>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197"/>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197"/>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tc>
      </w:tr>
    </w:tbl>
    <w:p>
      <w:pPr>
        <w:pStyle w:val="1197"/>
        <w:spacing w:line="560" w:lineRule="exact"/>
        <w:rPr>
          <w:rFonts w:ascii="宋体" w:hAnsi="宋体"/>
          <w:sz w:val="21"/>
          <w:szCs w:val="21"/>
          <w:highlight w:val="none"/>
        </w:rPr>
      </w:pPr>
      <w:r>
        <w:rPr>
          <w:rFonts w:hint="eastAsia" w:ascii="宋体" w:hAnsi="宋体"/>
          <w:sz w:val="21"/>
          <w:szCs w:val="21"/>
          <w:highlight w:val="none"/>
        </w:rPr>
        <w:t xml:space="preserve">                     供应商：（加盖公章）</w:t>
      </w:r>
      <w:r>
        <w:rPr>
          <w:rFonts w:ascii="宋体" w:hAnsi="宋体"/>
          <w:sz w:val="21"/>
          <w:szCs w:val="21"/>
          <w:highlight w:val="none"/>
        </w:rPr>
      </w:r>
      <w:r/>
    </w:p>
    <w:p>
      <w:pPr>
        <w:pStyle w:val="1197"/>
        <w:spacing w:line="560" w:lineRule="exact"/>
        <w:rPr>
          <w:rFonts w:ascii="宋体" w:hAnsi="宋体"/>
          <w:sz w:val="21"/>
          <w:szCs w:val="21"/>
          <w:highlight w:val="none"/>
        </w:rPr>
      </w:pPr>
      <w:r>
        <w:rPr>
          <w:rFonts w:hint="eastAsia" w:ascii="宋体" w:hAnsi="宋体"/>
          <w:sz w:val="21"/>
          <w:szCs w:val="21"/>
          <w:highlight w:val="none"/>
        </w:rPr>
        <w:t xml:space="preserve">                       法定代表人</w:t>
      </w:r>
      <w:r>
        <w:rPr>
          <w:rFonts w:ascii="宋体" w:hAnsi="宋体"/>
          <w:color w:val="000000"/>
          <w:sz w:val="21"/>
          <w:szCs w:val="21"/>
          <w:highlight w:val="none"/>
        </w:rPr>
        <w:t xml:space="preserve">签字</w:t>
      </w:r>
      <w:r>
        <w:rPr>
          <w:rFonts w:hint="eastAsia" w:ascii="宋体" w:hAnsi="宋体"/>
          <w:color w:val="000000"/>
          <w:sz w:val="21"/>
          <w:szCs w:val="21"/>
          <w:highlight w:val="none"/>
        </w:rPr>
        <w:t xml:space="preserve">、签章</w:t>
      </w:r>
      <w:r>
        <w:rPr>
          <w:rFonts w:ascii="宋体" w:hAnsi="宋体"/>
          <w:color w:val="000000"/>
          <w:sz w:val="21"/>
          <w:szCs w:val="21"/>
          <w:highlight w:val="none"/>
        </w:rPr>
        <w:t xml:space="preserve">或</w:t>
      </w:r>
      <w:r>
        <w:rPr>
          <w:rFonts w:hint="eastAsia" w:ascii="宋体" w:hAnsi="宋体"/>
          <w:color w:val="000000"/>
          <w:sz w:val="21"/>
          <w:szCs w:val="21"/>
          <w:highlight w:val="none"/>
        </w:rPr>
        <w:t xml:space="preserve">印鉴</w:t>
      </w:r>
      <w:r>
        <w:rPr>
          <w:rFonts w:hint="eastAsia" w:ascii="宋体" w:hAnsi="宋体"/>
          <w:sz w:val="21"/>
          <w:szCs w:val="21"/>
          <w:highlight w:val="none"/>
        </w:rPr>
        <w:t xml:space="preserve">：</w:t>
      </w:r>
      <w:r>
        <w:rPr>
          <w:rFonts w:ascii="宋体" w:hAnsi="宋体"/>
          <w:sz w:val="21"/>
          <w:szCs w:val="21"/>
          <w:highlight w:val="none"/>
        </w:rPr>
      </w:r>
      <w:r/>
    </w:p>
    <w:p>
      <w:pPr>
        <w:pStyle w:val="1197"/>
        <w:ind w:firstLine="3780"/>
        <w:spacing w:line="560" w:lineRule="exact"/>
        <w:rPr>
          <w:rFonts w:ascii="宋体" w:hAnsi="宋体"/>
          <w:sz w:val="21"/>
          <w:szCs w:val="21"/>
          <w:highlight w:val="none"/>
        </w:rPr>
      </w:pPr>
      <w:r>
        <w:rPr>
          <w:rFonts w:hint="eastAsia" w:ascii="宋体" w:hAnsi="宋体"/>
          <w:sz w:val="21"/>
          <w:szCs w:val="21"/>
          <w:highlight w:val="none"/>
        </w:rPr>
        <w:t xml:space="preserve">日期：    年    月    日</w:t>
      </w:r>
      <w:r>
        <w:rPr>
          <w:rFonts w:ascii="宋体" w:hAnsi="宋体"/>
          <w:sz w:val="21"/>
          <w:szCs w:val="21"/>
          <w:highlight w:val="none"/>
        </w:rPr>
      </w:r>
      <w:r/>
    </w:p>
    <w:p>
      <w:pPr>
        <w:pStyle w:val="1197"/>
        <w:jc w:val="left"/>
        <w:widowControl/>
        <w:rPr>
          <w:rFonts w:hint="eastAsia"/>
          <w:color w:val="000000"/>
          <w:sz w:val="21"/>
          <w:szCs w:val="21"/>
          <w:highlight w:val="none"/>
        </w:rPr>
      </w:pPr>
      <w:r>
        <w:rPr>
          <w:rFonts w:hint="eastAsia"/>
          <w:color w:val="000000"/>
          <w:sz w:val="21"/>
          <w:szCs w:val="21"/>
          <w:highlight w:val="none"/>
        </w:rPr>
      </w:r>
      <w:r/>
    </w:p>
    <w:p>
      <w:pPr>
        <w:pStyle w:val="1197"/>
        <w:jc w:val="left"/>
        <w:widowControl/>
        <w:rPr>
          <w:rFonts w:hint="eastAsia"/>
          <w:color w:val="000000"/>
          <w:sz w:val="21"/>
          <w:szCs w:val="21"/>
          <w:highlight w:val="none"/>
        </w:rPr>
      </w:pPr>
      <w:r>
        <w:rPr>
          <w:rFonts w:hint="eastAsia"/>
          <w:color w:val="000000"/>
          <w:sz w:val="21"/>
          <w:szCs w:val="21"/>
          <w:highlight w:val="none"/>
        </w:rPr>
      </w:r>
      <w:r/>
    </w:p>
    <w:p>
      <w:pPr>
        <w:pStyle w:val="1197"/>
        <w:jc w:val="left"/>
        <w:widowControl/>
        <w:rPr>
          <w:rFonts w:hint="eastAsia"/>
          <w:color w:val="000000"/>
          <w:sz w:val="21"/>
          <w:szCs w:val="21"/>
          <w:highlight w:val="none"/>
        </w:rPr>
      </w:pPr>
      <w:r>
        <w:rPr>
          <w:rFonts w:hint="eastAsia"/>
          <w:color w:val="000000"/>
          <w:sz w:val="21"/>
          <w:szCs w:val="21"/>
          <w:highlight w:val="none"/>
        </w:rPr>
      </w:r>
      <w:r/>
    </w:p>
    <w:p>
      <w:pPr>
        <w:pStyle w:val="1197"/>
        <w:jc w:val="left"/>
        <w:spacing w:line="360" w:lineRule="auto"/>
        <w:tabs>
          <w:tab w:val="left" w:pos="5580" w:leader="none"/>
        </w:tabs>
        <w:rPr>
          <w:rFonts w:ascii="宋体" w:hAnsi="宋体"/>
          <w:color w:val="000000"/>
          <w:sz w:val="21"/>
          <w:szCs w:val="21"/>
          <w:highlight w:val="none"/>
        </w:rPr>
      </w:pPr>
      <w:r>
        <w:rPr>
          <w:rFonts w:hint="eastAsia" w:ascii="宋体" w:hAnsi="宋体"/>
          <w:color w:val="000000"/>
          <w:sz w:val="21"/>
          <w:szCs w:val="21"/>
          <w:highlight w:val="none"/>
        </w:rPr>
        <w:t xml:space="preserve">说明</w:t>
      </w:r>
      <w:r>
        <w:rPr>
          <w:rFonts w:ascii="宋体" w:hAnsi="宋体"/>
          <w:color w:val="000000"/>
          <w:sz w:val="21"/>
          <w:szCs w:val="21"/>
          <w:highlight w:val="none"/>
        </w:rPr>
        <w:t xml:space="preserve">：</w:t>
      </w:r>
      <w:r>
        <w:rPr>
          <w:rFonts w:ascii="宋体" w:hAnsi="宋体"/>
          <w:color w:val="000000"/>
          <w:sz w:val="21"/>
          <w:szCs w:val="21"/>
          <w:highlight w:val="none"/>
        </w:rPr>
      </w:r>
      <w:r/>
    </w:p>
    <w:p>
      <w:pPr>
        <w:pStyle w:val="1197"/>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1.若供应商为事业单位或其他组织或分支机构（仅当</w:t>
      </w:r>
      <w:r>
        <w:rPr>
          <w:rFonts w:hint="eastAsia" w:ascii="宋体" w:hAnsi="宋体"/>
          <w:color w:val="000000"/>
          <w:sz w:val="21"/>
          <w:szCs w:val="21"/>
          <w:highlight w:val="none"/>
        </w:rPr>
        <w:t xml:space="preserve">磋商文件</w:t>
      </w:r>
      <w:r>
        <w:rPr>
          <w:rFonts w:ascii="宋体" w:hAnsi="宋体"/>
          <w:color w:val="000000"/>
          <w:sz w:val="21"/>
          <w:szCs w:val="21"/>
          <w:highlight w:val="none"/>
        </w:rPr>
        <w:t xml:space="preserve">注明允许分支机构</w:t>
      </w:r>
      <w:r>
        <w:rPr>
          <w:rFonts w:hint="eastAsia" w:ascii="宋体" w:hAnsi="宋体"/>
          <w:color w:val="000000"/>
          <w:sz w:val="21"/>
          <w:szCs w:val="21"/>
          <w:highlight w:val="none"/>
        </w:rPr>
        <w:t xml:space="preserve">响应</w:t>
      </w:r>
      <w:r>
        <w:rPr>
          <w:rFonts w:ascii="宋体" w:hAnsi="宋体"/>
          <w:color w:val="000000"/>
          <w:sz w:val="21"/>
          <w:szCs w:val="21"/>
          <w:highlight w:val="none"/>
        </w:rPr>
        <w:t xml:space="preserve">的），则法定代表人（单位负责人）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的签署人可为单位负责人</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197"/>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197"/>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197"/>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197"/>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197"/>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197"/>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197"/>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197"/>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197"/>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197"/>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政府采购供应商信用承诺书（实质性格式）</w:t>
      </w:r>
      <w:r>
        <w:rPr>
          <w:rFonts w:hint="eastAsia" w:ascii="宋体" w:hAnsi="宋体" w:eastAsia="宋体" w:cs="宋体"/>
          <w:color w:val="000000"/>
          <w:sz w:val="21"/>
          <w:szCs w:val="21"/>
          <w:highlight w:val="none"/>
        </w:rPr>
      </w:r>
      <w:r/>
    </w:p>
    <w:p>
      <w:pPr>
        <w:pStyle w:val="1197"/>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97"/>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197"/>
        <w:ind w:firstLine="640"/>
        <w:rPr>
          <w:highlight w:val="none"/>
        </w:rPr>
      </w:pPr>
      <w:r>
        <w:rPr>
          <w:highlight w:val="none"/>
        </w:rPr>
      </w:r>
      <w:r/>
    </w:p>
    <w:p>
      <w:pPr>
        <w:pStyle w:val="1197"/>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为维护公开、公平、公正的政府采购市场秩序，树立诚实守信的供应商形象，本单位在参与政府采购活动中,自愿作出以下承诺：</w:t>
      </w:r>
      <w:r>
        <w:rPr>
          <w:rFonts w:hint="eastAsia" w:ascii="宋体" w:hAnsi="宋体" w:eastAsia="宋体" w:cs="宋体"/>
          <w:sz w:val="21"/>
          <w:szCs w:val="21"/>
          <w:highlight w:val="none"/>
        </w:rPr>
      </w:r>
      <w:r/>
    </w:p>
    <w:p>
      <w:pPr>
        <w:pStyle w:val="1197"/>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sz w:val="21"/>
          <w:szCs w:val="21"/>
          <w:highlight w:val="none"/>
        </w:rPr>
      </w:r>
      <w:r/>
    </w:p>
    <w:p>
      <w:pPr>
        <w:pStyle w:val="1197"/>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sz w:val="21"/>
          <w:szCs w:val="21"/>
          <w:highlight w:val="none"/>
        </w:rPr>
      </w:r>
      <w:r/>
    </w:p>
    <w:p>
      <w:pPr>
        <w:pStyle w:val="1197"/>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 w:val="21"/>
          <w:szCs w:val="21"/>
          <w:highlight w:val="none"/>
        </w:rPr>
      </w:r>
      <w:r/>
    </w:p>
    <w:p>
      <w:pPr>
        <w:pStyle w:val="1197"/>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 w:val="21"/>
          <w:szCs w:val="21"/>
          <w:highlight w:val="none"/>
        </w:rPr>
      </w:r>
      <w:r/>
    </w:p>
    <w:p>
      <w:pPr>
        <w:pStyle w:val="1197"/>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五、承诺本单位自觉接受行政管理部门、行业组织、社会公众、新闻舆论的监督。 </w:t>
      </w:r>
      <w:r>
        <w:rPr>
          <w:rFonts w:hint="eastAsia" w:ascii="宋体" w:hAnsi="宋体" w:eastAsia="宋体" w:cs="宋体"/>
          <w:sz w:val="21"/>
          <w:szCs w:val="21"/>
          <w:highlight w:val="none"/>
        </w:rPr>
      </w:r>
      <w:r/>
    </w:p>
    <w:p>
      <w:pPr>
        <w:pStyle w:val="1197"/>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 w:val="21"/>
          <w:szCs w:val="21"/>
          <w:highlight w:val="none"/>
        </w:rPr>
      </w:r>
      <w:r/>
    </w:p>
    <w:p>
      <w:pPr>
        <w:pStyle w:val="1197"/>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七、承诺本单位在信用中国（江苏）网站中无违法违规、较重或严重失信记录。 </w:t>
      </w:r>
      <w:r>
        <w:rPr>
          <w:rFonts w:hint="eastAsia" w:ascii="宋体" w:hAnsi="宋体" w:eastAsia="宋体" w:cs="宋体"/>
          <w:sz w:val="21"/>
          <w:szCs w:val="21"/>
          <w:highlight w:val="none"/>
        </w:rPr>
      </w:r>
      <w:r/>
    </w:p>
    <w:p>
      <w:pPr>
        <w:pStyle w:val="1197"/>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八、承诺本单位提出政府采购质疑和投诉坚持依法依规、诚实信用原则。</w:t>
      </w:r>
      <w:r>
        <w:rPr>
          <w:rFonts w:hint="eastAsia" w:ascii="宋体" w:hAnsi="宋体" w:eastAsia="宋体" w:cs="宋体"/>
          <w:sz w:val="21"/>
          <w:szCs w:val="21"/>
          <w:highlight w:val="none"/>
        </w:rPr>
      </w:r>
      <w:r/>
    </w:p>
    <w:p>
      <w:pPr>
        <w:pStyle w:val="1197"/>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九、根据政府采购相关法律法规的规定需要作出的其他承诺。 </w:t>
      </w:r>
      <w:r>
        <w:rPr>
          <w:rFonts w:hint="eastAsia" w:ascii="宋体" w:hAnsi="宋体" w:eastAsia="宋体" w:cs="宋体"/>
          <w:sz w:val="21"/>
          <w:szCs w:val="21"/>
          <w:highlight w:val="none"/>
        </w:rPr>
      </w:r>
      <w:r/>
    </w:p>
    <w:p>
      <w:pPr>
        <w:pStyle w:val="1197"/>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 w:val="21"/>
          <w:szCs w:val="21"/>
          <w:highlight w:val="none"/>
        </w:rPr>
      </w:r>
      <w:r/>
    </w:p>
    <w:p>
      <w:pPr>
        <w:pStyle w:val="1197"/>
        <w:ind w:firstLine="48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sz w:val="21"/>
          <w:szCs w:val="21"/>
          <w:highlight w:val="none"/>
        </w:rPr>
      </w:r>
      <w:r/>
    </w:p>
    <w:p>
      <w:pPr>
        <w:pStyle w:val="1450"/>
        <w:ind w:right="1050" w:firstLine="2520"/>
        <w:jc w:val="both"/>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97"/>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197"/>
        <w:spacing w:before="25" w:after="25" w:line="360" w:lineRule="auto"/>
        <w:rPr>
          <w:color w:val="000000"/>
          <w:sz w:val="24"/>
          <w:highlight w:val="none"/>
          <w:lang w:val="zh-CN"/>
        </w:rPr>
      </w:pPr>
      <w:r>
        <w:rPr>
          <w:rFonts w:hint="eastAsia" w:ascii="宋体" w:hAnsi="宋体" w:eastAsia="宋体" w:cs="宋体"/>
          <w:color w:val="000000"/>
          <w:sz w:val="21"/>
          <w:szCs w:val="21"/>
          <w:highlight w:val="none"/>
        </w:rPr>
        <w:t xml:space="preserve">日期：_____年______月______日 </w:t>
      </w:r>
      <w:r>
        <w:rPr>
          <w:color w:val="000000"/>
          <w:sz w:val="24"/>
          <w:szCs w:val="20"/>
          <w:highlight w:val="none"/>
        </w:rPr>
        <w:t xml:space="preserve">  </w:t>
      </w:r>
      <w:r>
        <w:rPr>
          <w:color w:val="000000"/>
          <w:sz w:val="24"/>
          <w:highlight w:val="none"/>
          <w:lang w:val="zh-CN"/>
        </w:rPr>
      </w:r>
      <w:r/>
    </w:p>
    <w:p>
      <w:pPr>
        <w:pStyle w:val="1197"/>
        <w:spacing w:line="360" w:lineRule="auto"/>
        <w:rPr>
          <w:rFonts w:hint="eastAsia" w:ascii="宋体" w:hAnsi="宋体" w:eastAsia="宋体" w:cs="宋体"/>
          <w:color w:val="000000"/>
          <w:sz w:val="21"/>
          <w:szCs w:val="21"/>
          <w:highlight w:val="none"/>
        </w:rPr>
        <w:outlineLvl w:val="2"/>
      </w:pPr>
      <w:r>
        <w:rPr>
          <w:color w:val="000000"/>
          <w:sz w:val="24"/>
          <w:szCs w:val="20"/>
          <w:highlight w:val="none"/>
        </w:rPr>
        <w:br w:type="page" w:clear="all"/>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报价一览表</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1197"/>
        <w:jc w:val="center"/>
        <w:rPr>
          <w:b/>
          <w:color w:val="000000"/>
          <w:sz w:val="36"/>
          <w:szCs w:val="36"/>
          <w:highlight w:val="none"/>
        </w:rPr>
      </w:pPr>
      <w:r/>
      <w:bookmarkStart w:id="693" w:name="_Toc226965831"/>
      <w:r/>
      <w:bookmarkStart w:id="694" w:name="_Toc305158826"/>
      <w:r/>
      <w:bookmarkStart w:id="695" w:name="_Toc305158900"/>
      <w:r/>
      <w:bookmarkStart w:id="696" w:name="_Toc264969248"/>
      <w:r/>
      <w:bookmarkStart w:id="697" w:name="_Toc164608827"/>
      <w:r/>
      <w:bookmarkStart w:id="698" w:name="_Toc226309802"/>
      <w:r/>
      <w:bookmarkStart w:id="699" w:name="_Toc164608672"/>
      <w:r/>
      <w:bookmarkStart w:id="700" w:name="_Toc195842923"/>
      <w:r/>
      <w:bookmarkStart w:id="701" w:name="_Toc265228396"/>
      <w:r/>
      <w:bookmarkStart w:id="702" w:name="_Toc226965748"/>
      <w:r/>
      <w:bookmarkStart w:id="703" w:name="_Toc226337254"/>
      <w:r>
        <w:rPr>
          <w:rFonts w:hint="eastAsia"/>
          <w:b/>
          <w:color w:val="000000"/>
          <w:sz w:val="36"/>
          <w:szCs w:val="36"/>
          <w:highlight w:val="none"/>
        </w:rPr>
        <w:t xml:space="preserve">报价一览表</w:t>
      </w:r>
      <w:bookmarkEnd w:id="693"/>
      <w:r/>
      <w:bookmarkEnd w:id="694"/>
      <w:r/>
      <w:bookmarkEnd w:id="695"/>
      <w:r/>
      <w:bookmarkEnd w:id="696"/>
      <w:r/>
      <w:bookmarkEnd w:id="697"/>
      <w:r/>
      <w:bookmarkEnd w:id="698"/>
      <w:r/>
      <w:bookmarkEnd w:id="699"/>
      <w:r/>
      <w:bookmarkEnd w:id="700"/>
      <w:r/>
      <w:bookmarkEnd w:id="701"/>
      <w:r/>
      <w:bookmarkEnd w:id="702"/>
      <w:r/>
      <w:bookmarkEnd w:id="703"/>
      <w:r>
        <w:rPr>
          <w:b/>
          <w:color w:val="000000"/>
          <w:sz w:val="36"/>
          <w:szCs w:val="36"/>
          <w:highlight w:val="none"/>
        </w:rPr>
      </w:r>
      <w:r/>
    </w:p>
    <w:p>
      <w:pPr>
        <w:pStyle w:val="1197"/>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197"/>
        <w:ind w:firstLine="630"/>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ind w:firstLine="630"/>
        <w:jc w:val="left"/>
        <w:spacing w:line="360" w:lineRule="auto"/>
        <w:tabs>
          <w:tab w:val="left" w:pos="1800" w:leader="none"/>
          <w:tab w:val="left" w:pos="5580" w:leader="none"/>
        </w:tabs>
        <w:rPr>
          <w:color w:val="000000"/>
          <w:sz w:val="24"/>
          <w:highlight w:val="none"/>
        </w:rPr>
      </w:pPr>
      <w:r>
        <w:rPr>
          <w:rFonts w:hint="eastAsia" w:ascii="宋体" w:hAnsi="宋体" w:eastAsia="宋体" w:cs="宋体"/>
          <w:color w:val="000000"/>
          <w:sz w:val="21"/>
          <w:szCs w:val="21"/>
          <w:highlight w:val="none"/>
        </w:rPr>
        <w:t xml:space="preserve">项目编号/包号：__________________   项目名称：___________________</w:t>
      </w:r>
      <w:r>
        <w:rPr>
          <w:rFonts w:hint="eastAsia" w:ascii="宋体" w:hAnsi="宋体" w:eastAsia="宋体" w:cs="宋体"/>
          <w:color w:val="000000"/>
          <w:sz w:val="21"/>
          <w:szCs w:val="21"/>
          <w:highlight w:val="none"/>
          <w:lang w:val="en-US" w:eastAsia="zh-CN"/>
        </w:rPr>
        <w:t xml:space="preserve">                                                             </w:t>
      </w:r>
      <w:r>
        <w:rPr>
          <w:color w:val="000000"/>
          <w:sz w:val="24"/>
          <w:highlight w:val="none"/>
        </w:rPr>
      </w:r>
      <w:r/>
    </w:p>
    <w:tbl>
      <w:tblPr>
        <w:tblW w:w="4555" w:type="pct"/>
        <w:jc w:val="center"/>
        <w:tblInd w:w="3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1"/>
        <w:gridCol w:w="3183"/>
        <w:gridCol w:w="2011"/>
        <w:gridCol w:w="2119"/>
      </w:tblGrid>
      <w:tr>
        <w:trPr>
          <w:trHeight w:val="650"/>
        </w:trPr>
        <w:tc>
          <w:tcPr>
            <w:tcW w:w="581" w:type="dxa"/>
            <w:vAlign w:val="center"/>
            <w:vMerge w:val="restart"/>
            <w:textDirection w:val="lrTb"/>
            <w:noWrap w:val="false"/>
          </w:tcPr>
          <w:p>
            <w:pPr>
              <w:pStyle w:val="1197"/>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23" w:type="dxa"/>
            <w:vAlign w:val="center"/>
            <w:vMerge w:val="restart"/>
            <w:textDirection w:val="lrTb"/>
            <w:noWrap w:val="false"/>
          </w:tcPr>
          <w:p>
            <w:pPr>
              <w:pStyle w:val="1197"/>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4130" w:type="dxa"/>
            <w:vAlign w:val="center"/>
            <w:textDirection w:val="lrTb"/>
            <w:noWrap w:val="false"/>
          </w:tcPr>
          <w:p>
            <w:pPr>
              <w:pStyle w:val="1197"/>
              <w:jc w:val="center"/>
              <w:tabs>
                <w:tab w:val="left" w:pos="5580" w:leader="none"/>
              </w:tabs>
              <w:rPr>
                <w:b/>
                <w:color w:val="000000"/>
                <w:sz w:val="24"/>
                <w:highlight w:val="none"/>
              </w:rPr>
            </w:pPr>
            <w:r>
              <w:rPr>
                <w:rFonts w:hint="eastAsia"/>
                <w:b/>
                <w:color w:val="000000"/>
                <w:sz w:val="24"/>
                <w:highlight w:val="none"/>
              </w:rPr>
              <w:t xml:space="preserve">报价</w:t>
            </w:r>
            <w:r>
              <w:rPr>
                <w:rFonts w:hint="eastAsia" w:ascii="Times New Roman" w:hAnsi="Times New Roman" w:eastAsia="宋体" w:cs="Times New Roman"/>
                <w:b/>
                <w:color w:val="000000"/>
                <w:sz w:val="24"/>
                <w:highlight w:val="none"/>
                <w:lang w:eastAsia="zh-CN"/>
              </w:rPr>
              <w:t xml:space="preserve">（</w:t>
            </w:r>
            <w:r>
              <w:rPr>
                <w:rFonts w:hint="eastAsia" w:ascii="Times New Roman" w:hAnsi="Times New Roman" w:eastAsia="宋体" w:cs="Times New Roman"/>
                <w:b/>
                <w:color w:val="000000"/>
                <w:sz w:val="24"/>
                <w:highlight w:val="none"/>
                <w:lang w:val="en-US" w:eastAsia="zh-CN"/>
              </w:rPr>
              <w:t xml:space="preserve">单位：元/贰年</w:t>
            </w:r>
            <w:r>
              <w:rPr>
                <w:rFonts w:hint="eastAsia" w:ascii="Times New Roman" w:hAnsi="Times New Roman" w:eastAsia="宋体" w:cs="Times New Roman"/>
                <w:b/>
                <w:color w:val="000000"/>
                <w:sz w:val="24"/>
                <w:highlight w:val="none"/>
                <w:lang w:eastAsia="zh-CN"/>
              </w:rPr>
              <w:t xml:space="preserve">）</w:t>
            </w:r>
            <w:r>
              <w:rPr>
                <w:b/>
                <w:color w:val="000000"/>
                <w:sz w:val="24"/>
                <w:highlight w:val="none"/>
              </w:rPr>
            </w:r>
            <w:r/>
          </w:p>
        </w:tc>
      </w:tr>
      <w:tr>
        <w:trPr>
          <w:trHeight w:val="820"/>
        </w:trPr>
        <w:tc>
          <w:tcPr>
            <w:tcW w:w="581" w:type="dxa"/>
            <w:vAlign w:val="center"/>
            <w:vMerge w:val="continue"/>
            <w:textDirection w:val="lrTb"/>
            <w:noWrap w:val="false"/>
          </w:tcPr>
          <w:p>
            <w:pPr>
              <w:pStyle w:val="1197"/>
              <w:jc w:val="left"/>
              <w:widowControl/>
              <w:rPr>
                <w:b/>
                <w:color w:val="000000"/>
                <w:sz w:val="24"/>
                <w:highlight w:val="none"/>
              </w:rPr>
            </w:pPr>
            <w:r>
              <w:rPr>
                <w:b/>
                <w:color w:val="000000"/>
                <w:sz w:val="24"/>
                <w:highlight w:val="none"/>
              </w:rPr>
            </w:r>
            <w:r/>
          </w:p>
        </w:tc>
        <w:tc>
          <w:tcPr>
            <w:tcW w:w="1923" w:type="dxa"/>
            <w:vAlign w:val="center"/>
            <w:vMerge w:val="continue"/>
            <w:textDirection w:val="lrTb"/>
            <w:noWrap w:val="false"/>
          </w:tcPr>
          <w:p>
            <w:pPr>
              <w:pStyle w:val="1197"/>
              <w:jc w:val="left"/>
              <w:widowControl/>
              <w:rPr>
                <w:b/>
                <w:color w:val="000000"/>
                <w:sz w:val="24"/>
                <w:highlight w:val="none"/>
              </w:rPr>
            </w:pPr>
            <w:r>
              <w:rPr>
                <w:b/>
                <w:color w:val="000000"/>
                <w:sz w:val="24"/>
                <w:highlight w:val="none"/>
              </w:rPr>
            </w:r>
            <w:r/>
          </w:p>
        </w:tc>
        <w:tc>
          <w:tcPr>
            <w:tcW w:w="1215" w:type="dxa"/>
            <w:vAlign w:val="center"/>
            <w:textDirection w:val="lrTb"/>
            <w:noWrap w:val="false"/>
          </w:tcPr>
          <w:p>
            <w:pPr>
              <w:pStyle w:val="1197"/>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280" w:type="dxa"/>
            <w:vAlign w:val="center"/>
            <w:textDirection w:val="lrTb"/>
            <w:noWrap w:val="false"/>
          </w:tcPr>
          <w:p>
            <w:pPr>
              <w:pStyle w:val="1197"/>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1199"/>
        </w:trPr>
        <w:tc>
          <w:tcPr>
            <w:tcW w:w="581" w:type="dxa"/>
            <w:vAlign w:val="center"/>
            <w:textDirection w:val="lrTb"/>
            <w:noWrap w:val="false"/>
          </w:tcPr>
          <w:p>
            <w:pPr>
              <w:pStyle w:val="1197"/>
              <w:jc w:val="center"/>
              <w:tabs>
                <w:tab w:val="left" w:pos="5580" w:leader="none"/>
              </w:tabs>
              <w:rPr>
                <w:color w:val="000000"/>
                <w:sz w:val="24"/>
                <w:highlight w:val="none"/>
              </w:rPr>
            </w:pPr>
            <w:r>
              <w:rPr>
                <w:color w:val="000000"/>
                <w:sz w:val="24"/>
                <w:highlight w:val="none"/>
              </w:rPr>
            </w:r>
            <w:r/>
          </w:p>
        </w:tc>
        <w:tc>
          <w:tcPr>
            <w:tcW w:w="1923" w:type="dxa"/>
            <w:vAlign w:val="center"/>
            <w:textDirection w:val="lrTb"/>
            <w:noWrap w:val="false"/>
          </w:tcPr>
          <w:p>
            <w:pPr>
              <w:pStyle w:val="1197"/>
              <w:jc w:val="center"/>
              <w:tabs>
                <w:tab w:val="left" w:pos="5580" w:leader="none"/>
              </w:tabs>
              <w:rPr>
                <w:color w:val="000000"/>
                <w:sz w:val="24"/>
                <w:highlight w:val="none"/>
              </w:rPr>
            </w:pPr>
            <w:r>
              <w:rPr>
                <w:color w:val="000000"/>
                <w:sz w:val="24"/>
                <w:highlight w:val="none"/>
              </w:rPr>
            </w:r>
            <w:r/>
          </w:p>
        </w:tc>
        <w:tc>
          <w:tcPr>
            <w:tcW w:w="1215" w:type="dxa"/>
            <w:vAlign w:val="center"/>
            <w:textDirection w:val="lrTb"/>
            <w:noWrap w:val="false"/>
          </w:tcPr>
          <w:p>
            <w:pPr>
              <w:pStyle w:val="1197"/>
              <w:jc w:val="center"/>
              <w:tabs>
                <w:tab w:val="left" w:pos="5580" w:leader="none"/>
              </w:tabs>
              <w:rPr>
                <w:color w:val="000000"/>
                <w:sz w:val="24"/>
                <w:highlight w:val="none"/>
              </w:rPr>
            </w:pPr>
            <w:r>
              <w:rPr>
                <w:color w:val="000000"/>
                <w:sz w:val="24"/>
                <w:highlight w:val="none"/>
              </w:rPr>
            </w:r>
            <w:r/>
          </w:p>
        </w:tc>
        <w:tc>
          <w:tcPr>
            <w:tcW w:w="1280" w:type="dxa"/>
            <w:vAlign w:val="center"/>
            <w:textDirection w:val="lrTb"/>
            <w:noWrap w:val="false"/>
          </w:tcPr>
          <w:p>
            <w:pPr>
              <w:pStyle w:val="1197"/>
              <w:jc w:val="center"/>
              <w:tabs>
                <w:tab w:val="left" w:pos="5580" w:leader="none"/>
              </w:tabs>
              <w:rPr>
                <w:color w:val="000000"/>
                <w:sz w:val="24"/>
                <w:highlight w:val="none"/>
              </w:rPr>
            </w:pPr>
            <w:r>
              <w:rPr>
                <w:color w:val="000000"/>
                <w:sz w:val="24"/>
                <w:highlight w:val="none"/>
              </w:rPr>
            </w:r>
            <w:r/>
          </w:p>
        </w:tc>
      </w:tr>
    </w:tbl>
    <w:p>
      <w:pPr>
        <w:pStyle w:val="1197"/>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rPr>
        <w:t xml:space="preserve">.此表中，每包的报价应和《分项报价表》中的总价相一致。</w:t>
      </w:r>
      <w:r>
        <w:rPr>
          <w:rFonts w:hint="eastAsia" w:ascii="宋体" w:hAnsi="宋体" w:eastAsia="宋体" w:cs="宋体"/>
          <w:color w:val="000000"/>
          <w:sz w:val="21"/>
          <w:szCs w:val="21"/>
          <w:highlight w:val="none"/>
        </w:rPr>
      </w:r>
      <w:r/>
    </w:p>
    <w:p>
      <w:pPr>
        <w:pStyle w:val="1197"/>
        <w:ind w:firstLine="840"/>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2.本表必须按包分别填写。</w:t>
      </w:r>
      <w:r>
        <w:rPr>
          <w:rFonts w:hint="eastAsia" w:ascii="宋体" w:hAnsi="宋体" w:eastAsia="宋体" w:cs="宋体"/>
          <w:color w:val="000000"/>
          <w:sz w:val="21"/>
          <w:szCs w:val="21"/>
          <w:highlight w:val="none"/>
        </w:rPr>
      </w:r>
      <w:r/>
    </w:p>
    <w:p>
      <w:pPr>
        <w:pStyle w:val="1197"/>
        <w:ind w:firstLine="843"/>
        <w:jc w:val="left"/>
        <w:rPr>
          <w:rFonts w:ascii="宋体" w:hAnsi="宋体" w:cs="宋体"/>
          <w:b/>
          <w:bCs w:val="0"/>
          <w:color w:val="000000"/>
          <w:szCs w:val="21"/>
          <w:highlight w:val="none"/>
        </w:rPr>
      </w:pPr>
      <w:r>
        <w:rPr>
          <w:rFonts w:hint="eastAsia" w:ascii="宋体" w:hAnsi="宋体" w:eastAsia="宋体" w:cs="宋体"/>
          <w:b/>
          <w:bCs w:val="0"/>
          <w:color w:val="000000"/>
          <w:sz w:val="21"/>
          <w:szCs w:val="21"/>
          <w:highlight w:val="none"/>
          <w:lang w:val="en-US" w:eastAsia="zh-CN"/>
        </w:rPr>
        <w:t xml:space="preserve">3.</w:t>
      </w:r>
      <w:r>
        <w:rPr>
          <w:rFonts w:hint="eastAsia" w:ascii="宋体" w:hAnsi="宋体" w:cs="宋体"/>
          <w:b/>
          <w:bCs w:val="0"/>
          <w:color w:val="000000"/>
          <w:szCs w:val="21"/>
          <w:highlight w:val="none"/>
        </w:rPr>
        <w:t xml:space="preserve">按</w:t>
      </w:r>
      <w:r>
        <w:rPr>
          <w:rFonts w:hint="eastAsia" w:ascii="宋体" w:hAnsi="宋体" w:cs="宋体"/>
          <w:b/>
          <w:bCs w:val="0"/>
          <w:color w:val="000000"/>
          <w:szCs w:val="21"/>
          <w:highlight w:val="none"/>
          <w:lang w:val="en-US" w:eastAsia="zh-CN"/>
        </w:rPr>
        <w:t xml:space="preserve">贰</w:t>
      </w:r>
      <w:r>
        <w:rPr>
          <w:rFonts w:hint="eastAsia" w:ascii="宋体" w:hAnsi="宋体" w:cs="宋体"/>
          <w:b/>
          <w:bCs w:val="0"/>
          <w:color w:val="000000"/>
          <w:szCs w:val="21"/>
          <w:highlight w:val="none"/>
        </w:rPr>
        <w:t xml:space="preserve">年总价填报。</w:t>
      </w:r>
      <w:r>
        <w:rPr>
          <w:rFonts w:ascii="宋体" w:hAnsi="宋体" w:cs="宋体"/>
          <w:b/>
          <w:bCs w:val="0"/>
          <w:color w:val="000000"/>
          <w:szCs w:val="21"/>
          <w:highlight w:val="none"/>
        </w:rPr>
      </w:r>
      <w:r/>
    </w:p>
    <w:p>
      <w:pPr>
        <w:pStyle w:val="1197"/>
        <w:ind w:firstLine="840"/>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197"/>
        <w:ind w:firstLine="63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199"/>
        <w:ind w:firstLine="630"/>
        <w:jc w:val="both"/>
        <w:rPr>
          <w:rFonts w:hint="eastAsia" w:ascii="宋体" w:hAnsi="宋体" w:eastAsia="宋体" w:cs="宋体"/>
          <w:b w:val="0"/>
          <w:color w:val="000000"/>
          <w:sz w:val="21"/>
          <w:szCs w:val="21"/>
          <w:highlight w:val="none"/>
          <w:u w:val="single"/>
          <w:lang w:val="en-US" w:eastAsia="zh-CN" w:bidi="ar-SA"/>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single"/>
          <w:lang w:val="en-US" w:eastAsia="zh-CN" w:bidi="ar-SA"/>
        </w:rPr>
      </w:r>
      <w:r/>
    </w:p>
    <w:p>
      <w:pPr>
        <w:pStyle w:val="1199"/>
        <w:ind w:firstLine="630"/>
        <w:jc w:val="both"/>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rPr>
        <w:t xml:space="preserve">日期：</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 xml:space="preserve">年______月______日   </w:t>
      </w:r>
      <w:r>
        <w:rPr>
          <w:rFonts w:hint="eastAsia" w:ascii="宋体" w:hAnsi="宋体" w:eastAsia="宋体" w:cs="宋体"/>
          <w:b w:val="0"/>
          <w:bCs/>
          <w:color w:val="000000"/>
          <w:sz w:val="21"/>
          <w:szCs w:val="21"/>
          <w:highlight w:val="none"/>
          <w:lang w:val="zh-CN"/>
        </w:rPr>
      </w:r>
      <w:r/>
    </w:p>
    <w:p>
      <w:pPr>
        <w:pStyle w:val="1197"/>
        <w:jc w:val="left"/>
        <w:spacing w:line="360" w:lineRule="auto"/>
        <w:rPr>
          <w:rFonts w:hint="eastAsia" w:ascii="Times New Roman" w:hAnsi="Times New Roman" w:eastAsia="宋体" w:cs="Times New Roman"/>
          <w:b/>
          <w:color w:val="000000"/>
          <w:sz w:val="36"/>
          <w:szCs w:val="36"/>
          <w:highlight w:val="none"/>
        </w:rPr>
      </w:pPr>
      <w:r/>
      <w:bookmarkStart w:id="704" w:name="_Toc226965832"/>
      <w:r/>
      <w:bookmarkStart w:id="705" w:name="_Toc226965749"/>
      <w:r/>
      <w:bookmarkStart w:id="706" w:name="_Toc305158827"/>
      <w:r/>
      <w:bookmarkStart w:id="707" w:name="_Toc265228397"/>
      <w:r/>
      <w:bookmarkStart w:id="708" w:name="_Toc305158901"/>
      <w:r/>
      <w:bookmarkStart w:id="709" w:name="_Toc127151558"/>
      <w:r/>
      <w:bookmarkStart w:id="710" w:name="_Toc226337255"/>
      <w:r/>
      <w:bookmarkStart w:id="711" w:name="_Toc226309803"/>
      <w:r/>
      <w:bookmarkStart w:id="712" w:name="_Toc150480796"/>
      <w:r/>
      <w:bookmarkStart w:id="713" w:name="_Toc142311060"/>
      <w:r/>
      <w:bookmarkStart w:id="714" w:name="_Toc150774763"/>
      <w:r/>
      <w:bookmarkStart w:id="715" w:name="_Toc195842924"/>
      <w:r/>
      <w:bookmarkStart w:id="716" w:name="_Toc264969249"/>
      <w:r>
        <w:rPr>
          <w:color w:val="000000"/>
          <w:sz w:val="24"/>
          <w:szCs w:val="20"/>
          <w:highlight w:val="none"/>
        </w:rPr>
        <w:br w:type="page" w:clear="all"/>
      </w:r>
      <w:r>
        <w:rPr>
          <w:rFonts w:hint="eastAsia" w:ascii="宋体" w:hAnsi="宋体" w:eastAsia="宋体" w:cs="宋体"/>
          <w:color w:val="000000"/>
          <w:sz w:val="21"/>
          <w:szCs w:val="21"/>
          <w:highlight w:val="none"/>
          <w:lang w:val="en-US" w:eastAsia="zh-CN"/>
        </w:rPr>
        <w:t xml:space="preserve">7.分项报价表</w:t>
      </w:r>
      <w:r>
        <w:rPr>
          <w:rFonts w:ascii="宋体" w:hAnsi="宋体" w:eastAsia="宋体" w:cs="宋体"/>
          <w:color w:val="000000"/>
          <w:sz w:val="21"/>
          <w:szCs w:val="21"/>
          <w:highlight w:val="none"/>
        </w:rPr>
        <w:t xml:space="preserve">（实质性格式）</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Start w:id="717" w:name="_Toc142311062"/>
      <w:r/>
      <w:bookmarkStart w:id="718" w:name="_Toc264969252"/>
      <w:r/>
      <w:bookmarkStart w:id="719" w:name="_Toc226965752"/>
      <w:r/>
      <w:bookmarkStart w:id="720" w:name="_Toc226337258"/>
      <w:r/>
      <w:bookmarkStart w:id="721" w:name="_Toc127151562"/>
      <w:r/>
      <w:bookmarkStart w:id="722" w:name="_Toc265228400"/>
      <w:r/>
      <w:bookmarkStart w:id="723" w:name="_Toc226309806"/>
      <w:r/>
      <w:bookmarkStart w:id="724" w:name="_Toc150774765"/>
      <w:r/>
      <w:bookmarkStart w:id="725" w:name="_Toc305158830"/>
      <w:r/>
      <w:bookmarkStart w:id="726" w:name="_Toc226965835"/>
      <w:r/>
      <w:bookmarkStart w:id="727" w:name="_Toc150480798"/>
      <w:r/>
      <w:bookmarkStart w:id="728" w:name="_Toc195842927"/>
      <w:r/>
      <w:bookmarkStart w:id="729" w:name="_Toc305158904"/>
      <w:r/>
      <w:bookmarkStart w:id="730" w:name="_Toc195842926"/>
      <w:r/>
      <w:bookmarkStart w:id="731" w:name="_Toc142311061"/>
      <w:r/>
      <w:bookmarkStart w:id="732" w:name="_Toc150774764"/>
      <w:r/>
      <w:bookmarkStart w:id="733" w:name="_Toc226309805"/>
      <w:r/>
      <w:bookmarkStart w:id="734" w:name="_Toc226337257"/>
      <w:r/>
      <w:bookmarkStart w:id="735" w:name="_Toc226965751"/>
      <w:r/>
      <w:bookmarkStart w:id="736" w:name="_Toc305158829"/>
      <w:r/>
      <w:bookmarkStart w:id="737" w:name="_Toc264969251"/>
      <w:r/>
      <w:bookmarkStart w:id="738" w:name="_Toc305158903"/>
      <w:r/>
      <w:bookmarkStart w:id="739" w:name="_Toc150480797"/>
      <w:r/>
      <w:bookmarkStart w:id="740" w:name="_Toc265228399"/>
      <w:r/>
      <w:bookmarkStart w:id="741" w:name="_Toc127151561"/>
      <w:r/>
      <w:bookmarkStart w:id="742" w:name="_Toc226965834"/>
      <w:r>
        <w:rPr>
          <w:rFonts w:hint="eastAsia" w:ascii="Times New Roman" w:hAnsi="Times New Roman" w:eastAsia="宋体" w:cs="Times New Roman"/>
          <w:b/>
          <w:color w:val="000000"/>
          <w:sz w:val="36"/>
          <w:szCs w:val="36"/>
          <w:highlight w:val="none"/>
        </w:rPr>
      </w:r>
      <w:r/>
    </w:p>
    <w:p>
      <w:pPr>
        <w:pStyle w:val="1197"/>
        <w:jc w:val="center"/>
        <w:spacing w:line="360" w:lineRule="auto"/>
        <w:rPr>
          <w:rFonts w:hint="eastAsia" w:ascii="宋体" w:hAnsi="宋体" w:eastAsia="宋体" w:cs="宋体"/>
          <w:color w:val="000000"/>
          <w:sz w:val="21"/>
          <w:szCs w:val="21"/>
          <w:highlight w:val="none"/>
        </w:rPr>
      </w:pPr>
      <w:r>
        <w:rPr>
          <w:rFonts w:hint="eastAsia" w:ascii="Times New Roman" w:hAnsi="Times New Roman" w:eastAsia="宋体" w:cs="Times New Roman"/>
          <w:b/>
          <w:color w:val="000000"/>
          <w:sz w:val="36"/>
          <w:szCs w:val="36"/>
          <w:highlight w:val="none"/>
        </w:rPr>
        <w:t xml:space="preserve">分项报价表</w:t>
      </w:r>
      <w:r>
        <w:rPr>
          <w:rFonts w:hint="eastAsia" w:ascii="宋体" w:hAnsi="宋体" w:eastAsia="宋体" w:cs="宋体"/>
          <w:color w:val="000000"/>
          <w:sz w:val="21"/>
          <w:szCs w:val="21"/>
          <w:highlight w:val="none"/>
        </w:rPr>
      </w:r>
      <w:r/>
    </w:p>
    <w:p>
      <w:pPr>
        <w:pStyle w:val="1197"/>
        <w:ind w:firstLine="21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ind w:firstLine="21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项目编号：___________ 项目名称：__________</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报价单位：人民币元</w:t>
      </w:r>
      <w:r>
        <w:rPr>
          <w:rFonts w:hint="eastAsia" w:ascii="宋体" w:hAnsi="宋体" w:eastAsia="宋体" w:cs="宋体"/>
          <w:color w:val="000000"/>
          <w:sz w:val="21"/>
          <w:szCs w:val="21"/>
          <w:highlight w:val="none"/>
        </w:rPr>
      </w:r>
      <w:r/>
    </w:p>
    <w:tbl>
      <w:tblPr>
        <w:tblW w:w="9898"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1366"/>
        <w:gridCol w:w="1298"/>
        <w:gridCol w:w="885"/>
        <w:gridCol w:w="399"/>
        <w:gridCol w:w="1324"/>
        <w:gridCol w:w="201"/>
        <w:gridCol w:w="750"/>
        <w:gridCol w:w="1243"/>
        <w:gridCol w:w="1268"/>
      </w:tblGrid>
      <w:tr>
        <w:trPr>
          <w:trHeight w:val="470"/>
        </w:trPr>
        <w:tc>
          <w:tcPr>
            <w:tcW w:w="1164" w:type="dxa"/>
            <w:vAlign w:val="center"/>
            <w:textDirection w:val="lrTb"/>
            <w:noWrap w:val="false"/>
          </w:tcPr>
          <w:p>
            <w:pPr>
              <w:pStyle w:val="119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项目</w:t>
            </w:r>
            <w:r>
              <w:rPr>
                <w:rFonts w:hint="eastAsia" w:ascii="宋体" w:hAnsi="宋体" w:eastAsia="宋体" w:cs="宋体"/>
                <w:b/>
                <w:color w:val="000000"/>
                <w:szCs w:val="21"/>
                <w:highlight w:val="none"/>
              </w:rPr>
            </w:r>
            <w:r/>
          </w:p>
        </w:tc>
        <w:tc>
          <w:tcPr>
            <w:gridSpan w:val="2"/>
            <w:tcW w:w="2664" w:type="dxa"/>
            <w:vAlign w:val="center"/>
            <w:textDirection w:val="lrTb"/>
            <w:noWrap w:val="false"/>
          </w:tcPr>
          <w:p>
            <w:pPr>
              <w:pStyle w:val="1197"/>
              <w:ind w:firstLine="422"/>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分项</w:t>
            </w:r>
            <w:r>
              <w:rPr>
                <w:rFonts w:hint="eastAsia" w:ascii="宋体" w:hAnsi="宋体" w:eastAsia="宋体" w:cs="宋体"/>
                <w:b/>
                <w:color w:val="000000"/>
                <w:szCs w:val="21"/>
                <w:highlight w:val="none"/>
              </w:rPr>
            </w:r>
            <w:r/>
          </w:p>
        </w:tc>
        <w:tc>
          <w:tcPr>
            <w:gridSpan w:val="6"/>
            <w:tcW w:w="4802" w:type="dxa"/>
            <w:vAlign w:val="center"/>
            <w:textDirection w:val="lrTb"/>
            <w:noWrap w:val="false"/>
          </w:tcPr>
          <w:p>
            <w:pPr>
              <w:pStyle w:val="1197"/>
              <w:ind w:firstLine="422"/>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计算</w:t>
            </w:r>
            <w:r>
              <w:rPr>
                <w:rFonts w:hint="eastAsia" w:ascii="宋体" w:hAnsi="宋体" w:eastAsia="宋体" w:cs="宋体"/>
                <w:b/>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w:t>
            </w:r>
            <w:r>
              <w:rPr>
                <w:rFonts w:hint="eastAsia" w:ascii="宋体" w:hAnsi="宋体" w:eastAsia="宋体" w:cs="宋体"/>
                <w:b/>
                <w:color w:val="000000"/>
                <w:szCs w:val="21"/>
                <w:highlight w:val="none"/>
              </w:rPr>
            </w:r>
            <w:r/>
          </w:p>
        </w:tc>
      </w:tr>
      <w:tr>
        <w:trPr>
          <w:trHeight w:val="930"/>
        </w:trPr>
        <w:tc>
          <w:tcPr>
            <w:tcW w:w="1164" w:type="dxa"/>
            <w:vAlign w:val="center"/>
            <w:vMerge w:val="restart"/>
            <w:textDirection w:val="lrTb"/>
            <w:noWrap w:val="false"/>
          </w:tcPr>
          <w:p>
            <w:pPr>
              <w:pStyle w:val="119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(1)人工费用</w:t>
            </w:r>
            <w:r>
              <w:rPr>
                <w:rFonts w:hint="eastAsia" w:ascii="宋体" w:hAnsi="宋体" w:eastAsia="宋体" w:cs="宋体"/>
                <w:b/>
                <w:color w:val="000000"/>
                <w:szCs w:val="21"/>
                <w:highlight w:val="none"/>
              </w:rPr>
            </w:r>
            <w:r/>
          </w:p>
        </w:tc>
        <w:tc>
          <w:tcPr>
            <w:tcW w:w="1366" w:type="dxa"/>
            <w:vAlign w:val="center"/>
            <w:vMerge w:val="restart"/>
            <w:textDirection w:val="lrTb"/>
            <w:noWrap w:val="false"/>
          </w:tcPr>
          <w:p>
            <w:pPr>
              <w:pStyle w:val="119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工资（*）</w:t>
            </w:r>
            <w:r>
              <w:rPr>
                <w:rFonts w:hint="eastAsia" w:ascii="宋体" w:hAnsi="宋体" w:eastAsia="宋体" w:cs="宋体"/>
                <w:b/>
                <w:color w:val="000000"/>
                <w:szCs w:val="21"/>
                <w:highlight w:val="none"/>
              </w:rPr>
            </w:r>
            <w:r/>
          </w:p>
        </w:tc>
        <w:tc>
          <w:tcPr>
            <w:tcW w:w="129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1284"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月工资/人</w:t>
            </w:r>
            <w:r>
              <w:rPr>
                <w:rFonts w:hint="eastAsia" w:ascii="宋体" w:hAnsi="宋体" w:eastAsia="宋体" w:cs="宋体"/>
                <w:color w:val="000000"/>
                <w:szCs w:val="21"/>
                <w:highlight w:val="none"/>
              </w:rPr>
            </w:r>
            <w:r/>
          </w:p>
        </w:tc>
        <w:tc>
          <w:tcPr>
            <w:tcW w:w="1324"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年工资/人</w:t>
            </w:r>
            <w:r>
              <w:rPr>
                <w:rFonts w:hint="eastAsia" w:ascii="宋体" w:hAnsi="宋体" w:eastAsia="宋体" w:cs="宋体"/>
                <w:color w:val="000000"/>
                <w:szCs w:val="21"/>
                <w:highlight w:val="none"/>
              </w:rPr>
            </w:r>
            <w:r/>
          </w:p>
        </w:tc>
        <w:tc>
          <w:tcPr>
            <w:gridSpan w:val="2"/>
            <w:tcW w:w="951"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人数</w:t>
            </w:r>
            <w:r>
              <w:rPr>
                <w:rFonts w:hint="eastAsia" w:ascii="宋体" w:hAnsi="宋体" w:eastAsia="宋体" w:cs="宋体"/>
                <w:color w:val="000000"/>
                <w:szCs w:val="21"/>
                <w:highlight w:val="none"/>
              </w:rPr>
            </w:r>
            <w:r/>
          </w:p>
        </w:tc>
        <w:tc>
          <w:tcPr>
            <w:tcW w:w="1243" w:type="dxa"/>
            <w:vAlign w:val="center"/>
            <w:textDirection w:val="lrTb"/>
            <w:noWrap w:val="false"/>
          </w:tcPr>
          <w:p>
            <w:pPr>
              <w:pStyle w:val="119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合计</w:t>
            </w:r>
            <w:r>
              <w:rPr>
                <w:rFonts w:hint="eastAsia" w:ascii="宋体" w:hAnsi="宋体" w:eastAsia="宋体" w:cs="宋体"/>
                <w:b/>
                <w:color w:val="000000"/>
                <w:szCs w:val="21"/>
                <w:highlight w:val="none"/>
              </w:rPr>
            </w:r>
            <w:r/>
          </w:p>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（元/年）</w:t>
            </w: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52"/>
        </w:trPr>
        <w:tc>
          <w:tcPr>
            <w:tcW w:w="1164"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66"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9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人均</w:t>
            </w:r>
            <w:r>
              <w:rPr>
                <w:rFonts w:hint="eastAsia" w:ascii="宋体" w:hAnsi="宋体" w:eastAsia="宋体" w:cs="宋体"/>
                <w:color w:val="000000"/>
                <w:szCs w:val="21"/>
                <w:highlight w:val="none"/>
              </w:rPr>
            </w:r>
            <w:r/>
          </w:p>
        </w:tc>
        <w:tc>
          <w:tcPr>
            <w:gridSpan w:val="2"/>
            <w:tcW w:w="1284"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4"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951"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不少于</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人</w:t>
            </w:r>
            <w:r>
              <w:rPr>
                <w:rFonts w:hint="eastAsia" w:ascii="宋体" w:hAnsi="宋体" w:eastAsia="宋体" w:cs="宋体"/>
                <w:color w:val="000000"/>
                <w:szCs w:val="21"/>
                <w:highlight w:val="none"/>
              </w:rPr>
            </w:r>
            <w:r/>
          </w:p>
        </w:tc>
      </w:tr>
      <w:tr>
        <w:trPr>
          <w:trHeight w:val="515"/>
        </w:trPr>
        <w:tc>
          <w:tcPr>
            <w:tcW w:w="1164"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66"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98" w:type="dxa"/>
            <w:vAlign w:val="center"/>
            <w:textDirection w:val="lrTb"/>
            <w:noWrap w:val="false"/>
          </w:tcPr>
          <w:p>
            <w:pPr>
              <w:pStyle w:val="119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小计1</w:t>
            </w:r>
            <w:r>
              <w:rPr>
                <w:rFonts w:hint="eastAsia" w:ascii="宋体" w:hAnsi="宋体" w:eastAsia="宋体" w:cs="宋体"/>
                <w:b/>
                <w:color w:val="000000"/>
                <w:szCs w:val="21"/>
                <w:highlight w:val="none"/>
              </w:rPr>
            </w:r>
            <w:r/>
          </w:p>
        </w:tc>
        <w:tc>
          <w:tcPr>
            <w:gridSpan w:val="6"/>
            <w:tcW w:w="4802"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64"/>
        </w:trPr>
        <w:tc>
          <w:tcPr>
            <w:tcW w:w="1164"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66" w:type="dxa"/>
            <w:vAlign w:val="center"/>
            <w:vMerge w:val="restart"/>
            <w:textDirection w:val="lrTb"/>
            <w:noWrap w:val="false"/>
          </w:tcPr>
          <w:p>
            <w:pPr>
              <w:pStyle w:val="1197"/>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社会保险费（企业缴纳）（*）</w:t>
            </w:r>
            <w:r>
              <w:rPr>
                <w:rFonts w:hint="eastAsia" w:ascii="宋体" w:hAnsi="宋体" w:eastAsia="宋体" w:cs="宋体"/>
                <w:b/>
                <w:color w:val="000000"/>
                <w:szCs w:val="21"/>
                <w:highlight w:val="none"/>
              </w:rPr>
            </w:r>
            <w:r/>
          </w:p>
        </w:tc>
        <w:tc>
          <w:tcPr>
            <w:tcW w:w="129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1284"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月缴费基数</w:t>
            </w:r>
            <w:r>
              <w:rPr>
                <w:rFonts w:hint="eastAsia" w:ascii="宋体" w:hAnsi="宋体" w:eastAsia="宋体" w:cs="宋体"/>
                <w:color w:val="000000"/>
                <w:szCs w:val="21"/>
                <w:highlight w:val="none"/>
              </w:rPr>
            </w:r>
            <w:r/>
          </w:p>
        </w:tc>
        <w:tc>
          <w:tcPr>
            <w:tcW w:w="1324"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月缴费比例</w:t>
            </w:r>
            <w:r>
              <w:rPr>
                <w:rFonts w:hint="eastAsia" w:ascii="宋体" w:hAnsi="宋体" w:eastAsia="宋体" w:cs="宋体"/>
                <w:color w:val="000000"/>
                <w:szCs w:val="21"/>
                <w:highlight w:val="none"/>
              </w:rPr>
            </w:r>
            <w:r/>
          </w:p>
        </w:tc>
        <w:tc>
          <w:tcPr>
            <w:gridSpan w:val="2"/>
            <w:tcW w:w="951"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人数</w:t>
            </w:r>
            <w:r>
              <w:rPr>
                <w:rFonts w:hint="eastAsia" w:ascii="宋体" w:hAnsi="宋体" w:eastAsia="宋体" w:cs="宋体"/>
                <w:color w:val="000000"/>
                <w:szCs w:val="21"/>
                <w:highlight w:val="none"/>
              </w:rPr>
            </w:r>
            <w:r/>
          </w:p>
        </w:tc>
        <w:tc>
          <w:tcPr>
            <w:tcW w:w="1243" w:type="dxa"/>
            <w:vAlign w:val="center"/>
            <w:textDirection w:val="lrTb"/>
            <w:noWrap w:val="false"/>
          </w:tcPr>
          <w:p>
            <w:pPr>
              <w:pStyle w:val="119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合计</w:t>
            </w:r>
            <w:r>
              <w:rPr>
                <w:rFonts w:hint="eastAsia" w:ascii="宋体" w:hAnsi="宋体" w:eastAsia="宋体" w:cs="宋体"/>
                <w:b/>
                <w:color w:val="000000"/>
                <w:szCs w:val="21"/>
                <w:highlight w:val="none"/>
              </w:rPr>
            </w:r>
            <w:r/>
          </w:p>
          <w:p>
            <w:pPr>
              <w:pStyle w:val="119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（元/年）</w:t>
            </w:r>
            <w:r>
              <w:rPr>
                <w:rFonts w:hint="eastAsia" w:ascii="宋体" w:hAnsi="宋体" w:eastAsia="宋体" w:cs="宋体"/>
                <w:b/>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52"/>
        </w:trPr>
        <w:tc>
          <w:tcPr>
            <w:tcW w:w="1164"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66" w:type="dxa"/>
            <w:vAlign w:val="center"/>
            <w:vMerge w:val="continue"/>
            <w:textDirection w:val="lrTb"/>
            <w:noWrap w:val="false"/>
          </w:tcPr>
          <w:p>
            <w:pPr>
              <w:pStyle w:val="119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9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人均</w:t>
            </w:r>
            <w:r>
              <w:rPr>
                <w:rFonts w:hint="eastAsia" w:ascii="宋体" w:hAnsi="宋体" w:eastAsia="宋体" w:cs="宋体"/>
                <w:color w:val="000000"/>
                <w:szCs w:val="21"/>
                <w:highlight w:val="none"/>
              </w:rPr>
            </w:r>
            <w:r/>
          </w:p>
        </w:tc>
        <w:tc>
          <w:tcPr>
            <w:gridSpan w:val="2"/>
            <w:tcW w:w="1284"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4"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951"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不少于</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人</w:t>
            </w:r>
            <w:r>
              <w:rPr>
                <w:rFonts w:hint="eastAsia" w:ascii="宋体" w:hAnsi="宋体" w:eastAsia="宋体" w:cs="宋体"/>
                <w:color w:val="000000"/>
                <w:szCs w:val="21"/>
                <w:highlight w:val="none"/>
              </w:rPr>
            </w:r>
            <w:r/>
          </w:p>
        </w:tc>
      </w:tr>
      <w:tr>
        <w:trPr>
          <w:trHeight w:val="470"/>
        </w:trPr>
        <w:tc>
          <w:tcPr>
            <w:tcW w:w="1164"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66"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98" w:type="dxa"/>
            <w:vAlign w:val="center"/>
            <w:textDirection w:val="lrTb"/>
            <w:noWrap w:val="false"/>
          </w:tcPr>
          <w:p>
            <w:pPr>
              <w:pStyle w:val="119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小计2</w:t>
            </w:r>
            <w:r>
              <w:rPr>
                <w:rFonts w:hint="eastAsia" w:ascii="宋体" w:hAnsi="宋体" w:eastAsia="宋体" w:cs="宋体"/>
                <w:b/>
                <w:color w:val="000000"/>
                <w:szCs w:val="21"/>
                <w:highlight w:val="none"/>
              </w:rPr>
            </w:r>
            <w:r/>
          </w:p>
        </w:tc>
        <w:tc>
          <w:tcPr>
            <w:gridSpan w:val="6"/>
            <w:tcW w:w="4802"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2"/>
        </w:trPr>
        <w:tc>
          <w:tcPr>
            <w:tcW w:w="1164"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66" w:type="dxa"/>
            <w:vAlign w:val="center"/>
            <w:vMerge w:val="restart"/>
            <w:textDirection w:val="lrTb"/>
            <w:noWrap w:val="false"/>
          </w:tcPr>
          <w:p>
            <w:pPr>
              <w:pStyle w:val="119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其他费用</w:t>
            </w:r>
            <w:r>
              <w:rPr>
                <w:rFonts w:hint="eastAsia" w:ascii="宋体" w:hAnsi="宋体" w:eastAsia="宋体" w:cs="宋体"/>
                <w:b/>
                <w:color w:val="000000"/>
                <w:szCs w:val="21"/>
                <w:highlight w:val="none"/>
              </w:rPr>
            </w:r>
            <w:r/>
          </w:p>
        </w:tc>
        <w:tc>
          <w:tcPr>
            <w:tcW w:w="1298" w:type="dxa"/>
            <w:vAlign w:val="center"/>
            <w:textDirection w:val="lrTb"/>
            <w:noWrap w:val="false"/>
          </w:tcPr>
          <w:p>
            <w:pPr>
              <w:pStyle w:val="1197"/>
              <w:jc w:val="center"/>
              <w:spacing w:line="240"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全年休息休假加班工资</w:t>
            </w:r>
            <w:r>
              <w:rPr>
                <w:rFonts w:hint="eastAsia" w:ascii="宋体" w:hAnsi="宋体" w:eastAsia="宋体" w:cs="宋体"/>
                <w:b w:val="0"/>
                <w:bCs/>
                <w:color w:val="000000"/>
                <w:szCs w:val="21"/>
                <w:highlight w:val="none"/>
              </w:rPr>
            </w:r>
            <w:r/>
          </w:p>
        </w:tc>
        <w:tc>
          <w:tcPr>
            <w:gridSpan w:val="6"/>
            <w:tcW w:w="4802"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不少于</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人</w:t>
            </w:r>
            <w:r>
              <w:rPr>
                <w:rFonts w:hint="eastAsia" w:ascii="宋体" w:hAnsi="宋体" w:eastAsia="宋体" w:cs="宋体"/>
                <w:color w:val="000000"/>
                <w:szCs w:val="21"/>
                <w:highlight w:val="none"/>
              </w:rPr>
            </w:r>
            <w:r/>
          </w:p>
        </w:tc>
      </w:tr>
      <w:tr>
        <w:trPr>
          <w:trHeight w:val="470"/>
        </w:trPr>
        <w:tc>
          <w:tcPr>
            <w:tcW w:w="1164"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66" w:type="dxa"/>
            <w:vAlign w:val="center"/>
            <w:vMerge w:val="continue"/>
            <w:textDirection w:val="lrTb"/>
            <w:noWrap w:val="false"/>
          </w:tcPr>
          <w:p>
            <w:pPr>
              <w:pStyle w:val="119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98" w:type="dxa"/>
            <w:vAlign w:val="center"/>
            <w:textDirection w:val="lrTb"/>
            <w:noWrap w:val="false"/>
          </w:tcPr>
          <w:p>
            <w:pPr>
              <w:pStyle w:val="1197"/>
              <w:jc w:val="center"/>
              <w:spacing w:line="240"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高温费</w:t>
            </w:r>
            <w:r>
              <w:rPr>
                <w:rFonts w:hint="eastAsia" w:ascii="宋体" w:hAnsi="宋体" w:eastAsia="宋体" w:cs="宋体"/>
                <w:b w:val="0"/>
                <w:bCs/>
                <w:color w:val="000000"/>
                <w:szCs w:val="21"/>
                <w:highlight w:val="none"/>
              </w:rPr>
            </w:r>
            <w:r/>
          </w:p>
        </w:tc>
        <w:tc>
          <w:tcPr>
            <w:gridSpan w:val="6"/>
            <w:tcW w:w="4802"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不少于</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人</w:t>
            </w:r>
            <w:r>
              <w:rPr>
                <w:rFonts w:hint="eastAsia" w:ascii="宋体" w:hAnsi="宋体" w:eastAsia="宋体" w:cs="宋体"/>
                <w:color w:val="000000"/>
                <w:szCs w:val="21"/>
                <w:highlight w:val="none"/>
              </w:rPr>
            </w:r>
            <w:r/>
          </w:p>
        </w:tc>
      </w:tr>
      <w:tr>
        <w:trPr>
          <w:trHeight w:val="470"/>
        </w:trPr>
        <w:tc>
          <w:tcPr>
            <w:tcW w:w="1164"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66" w:type="dxa"/>
            <w:vAlign w:val="center"/>
            <w:vMerge w:val="continue"/>
            <w:textDirection w:val="lrTb"/>
            <w:noWrap w:val="false"/>
          </w:tcPr>
          <w:p>
            <w:pPr>
              <w:pStyle w:val="119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98" w:type="dxa"/>
            <w:vAlign w:val="center"/>
            <w:textDirection w:val="lrTb"/>
            <w:noWrap w:val="false"/>
          </w:tcPr>
          <w:p>
            <w:pPr>
              <w:pStyle w:val="1197"/>
              <w:jc w:val="center"/>
              <w:spacing w:line="240"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意外保险费</w:t>
            </w:r>
            <w:r>
              <w:rPr>
                <w:rFonts w:hint="eastAsia" w:ascii="宋体" w:hAnsi="宋体" w:eastAsia="宋体" w:cs="宋体"/>
                <w:b w:val="0"/>
                <w:bCs/>
                <w:color w:val="000000"/>
                <w:szCs w:val="21"/>
                <w:highlight w:val="none"/>
              </w:rPr>
            </w:r>
            <w:r/>
          </w:p>
        </w:tc>
        <w:tc>
          <w:tcPr>
            <w:gridSpan w:val="6"/>
            <w:tcW w:w="4802"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不少于</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人</w:t>
            </w:r>
            <w:r>
              <w:rPr>
                <w:rFonts w:hint="eastAsia" w:ascii="宋体" w:hAnsi="宋体" w:eastAsia="宋体" w:cs="宋体"/>
                <w:color w:val="000000"/>
                <w:szCs w:val="21"/>
                <w:highlight w:val="none"/>
              </w:rPr>
            </w:r>
            <w:r/>
          </w:p>
        </w:tc>
      </w:tr>
      <w:tr>
        <w:trPr>
          <w:trHeight w:val="470"/>
        </w:trPr>
        <w:tc>
          <w:tcPr>
            <w:tcW w:w="1164"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66" w:type="dxa"/>
            <w:vAlign w:val="center"/>
            <w:vMerge w:val="continue"/>
            <w:textDirection w:val="lrTb"/>
            <w:noWrap w:val="false"/>
          </w:tcPr>
          <w:p>
            <w:pPr>
              <w:pStyle w:val="119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9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6"/>
            <w:tcW w:w="4802" w:type="dxa"/>
            <w:vAlign w:val="center"/>
            <w:textDirection w:val="lrTb"/>
            <w:noWrap w:val="false"/>
          </w:tcPr>
          <w:p>
            <w:pPr>
              <w:pStyle w:val="1197"/>
              <w:jc w:val="center"/>
              <w:spacing w:line="24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2"/>
        </w:trPr>
        <w:tc>
          <w:tcPr>
            <w:tcW w:w="1164"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66" w:type="dxa"/>
            <w:vAlign w:val="center"/>
            <w:vMerge w:val="continue"/>
            <w:textDirection w:val="lrTb"/>
            <w:noWrap w:val="false"/>
          </w:tcPr>
          <w:p>
            <w:pPr>
              <w:pStyle w:val="119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9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6"/>
            <w:tcW w:w="4802"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0"/>
        </w:trPr>
        <w:tc>
          <w:tcPr>
            <w:tcW w:w="1164"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66" w:type="dxa"/>
            <w:vAlign w:val="center"/>
            <w:vMerge w:val="continue"/>
            <w:textDirection w:val="lrTb"/>
            <w:noWrap w:val="false"/>
          </w:tcPr>
          <w:p>
            <w:pPr>
              <w:pStyle w:val="1197"/>
              <w:jc w:val="center"/>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98" w:type="dxa"/>
            <w:vAlign w:val="center"/>
            <w:textDirection w:val="lrTb"/>
            <w:noWrap w:val="false"/>
          </w:tcPr>
          <w:p>
            <w:pPr>
              <w:pStyle w:val="119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小计3</w:t>
            </w:r>
            <w:r>
              <w:rPr>
                <w:rFonts w:hint="eastAsia" w:ascii="宋体" w:hAnsi="宋体" w:eastAsia="宋体" w:cs="宋体"/>
                <w:b/>
                <w:color w:val="000000"/>
                <w:szCs w:val="21"/>
                <w:highlight w:val="none"/>
              </w:rPr>
            </w:r>
            <w:r/>
          </w:p>
        </w:tc>
        <w:tc>
          <w:tcPr>
            <w:gridSpan w:val="6"/>
            <w:tcW w:w="4802"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31"/>
        </w:trPr>
        <w:tc>
          <w:tcPr>
            <w:tcW w:w="1164" w:type="dxa"/>
            <w:vAlign w:val="center"/>
            <w:textDirection w:val="lrTb"/>
            <w:noWrap w:val="false"/>
          </w:tcPr>
          <w:p>
            <w:pPr>
              <w:pStyle w:val="1197"/>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(2)企业费用</w:t>
            </w:r>
            <w:r>
              <w:rPr>
                <w:rFonts w:hint="eastAsia" w:ascii="宋体" w:hAnsi="宋体" w:eastAsia="宋体" w:cs="宋体"/>
                <w:b/>
                <w:color w:val="000000"/>
                <w:szCs w:val="21"/>
                <w:highlight w:val="none"/>
              </w:rPr>
            </w:r>
            <w:r/>
          </w:p>
        </w:tc>
        <w:tc>
          <w:tcPr>
            <w:gridSpan w:val="2"/>
            <w:tcW w:w="2664" w:type="dxa"/>
            <w:vAlign w:val="center"/>
            <w:textDirection w:val="lrTb"/>
            <w:noWrap w:val="false"/>
          </w:tcPr>
          <w:p>
            <w:pPr>
              <w:pStyle w:val="119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企业费用合计（元/年）</w:t>
            </w:r>
            <w:r>
              <w:rPr>
                <w:rFonts w:hint="eastAsia" w:ascii="宋体" w:hAnsi="宋体" w:eastAsia="宋体" w:cs="宋体"/>
                <w:b/>
                <w:color w:val="000000"/>
                <w:szCs w:val="21"/>
                <w:highlight w:val="none"/>
              </w:rPr>
            </w:r>
            <w:r/>
          </w:p>
        </w:tc>
        <w:tc>
          <w:tcPr>
            <w:tcW w:w="885" w:type="dxa"/>
            <w:vAlign w:val="center"/>
            <w:textDirection w:val="lrTb"/>
            <w:noWrap w:val="false"/>
          </w:tcPr>
          <w:p>
            <w:pPr>
              <w:pStyle w:val="11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w:t>
            </w:r>
            <w:r>
              <w:rPr>
                <w:rFonts w:hint="eastAsia" w:ascii="宋体" w:hAnsi="宋体" w:eastAsia="宋体" w:cs="宋体"/>
                <w:color w:val="000000"/>
                <w:szCs w:val="21"/>
                <w:highlight w:val="none"/>
              </w:rPr>
            </w:r>
            <w:r/>
          </w:p>
        </w:tc>
        <w:tc>
          <w:tcPr>
            <w:gridSpan w:val="5"/>
            <w:tcW w:w="3917" w:type="dxa"/>
            <w:vAlign w:val="center"/>
            <w:textDirection w:val="lrTb"/>
            <w:noWrap w:val="false"/>
          </w:tcPr>
          <w:p>
            <w:pPr>
              <w:pStyle w:val="11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按项计取</w:t>
            </w:r>
            <w:r>
              <w:rPr>
                <w:rFonts w:hint="eastAsia" w:ascii="宋体" w:hAnsi="宋体" w:eastAsia="宋体" w:cs="宋体"/>
                <w:b/>
                <w:color w:val="000000"/>
                <w:szCs w:val="21"/>
                <w:highlight w:val="none"/>
              </w:rPr>
            </w:r>
            <w:r/>
          </w:p>
        </w:tc>
      </w:tr>
      <w:tr>
        <w:trPr>
          <w:trHeight w:val="930"/>
        </w:trPr>
        <w:tc>
          <w:tcPr>
            <w:tcW w:w="1164" w:type="dxa"/>
            <w:vAlign w:val="center"/>
            <w:textDirection w:val="lrTb"/>
            <w:noWrap w:val="false"/>
          </w:tcPr>
          <w:p>
            <w:pPr>
              <w:pStyle w:val="119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（3）税金</w:t>
            </w:r>
            <w:r>
              <w:rPr>
                <w:rFonts w:hint="eastAsia" w:ascii="宋体" w:hAnsi="宋体" w:eastAsia="宋体" w:cs="宋体"/>
                <w:b/>
                <w:color w:val="000000"/>
                <w:szCs w:val="21"/>
                <w:highlight w:val="none"/>
              </w:rPr>
            </w:r>
            <w:r/>
          </w:p>
        </w:tc>
        <w:tc>
          <w:tcPr>
            <w:gridSpan w:val="2"/>
            <w:tcW w:w="2664" w:type="dxa"/>
            <w:vAlign w:val="center"/>
            <w:textDirection w:val="lrTb"/>
            <w:noWrap w:val="false"/>
          </w:tcPr>
          <w:p>
            <w:pPr>
              <w:pStyle w:val="119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税金合计（元/年）</w:t>
            </w:r>
            <w:r>
              <w:rPr>
                <w:rFonts w:hint="eastAsia" w:ascii="宋体" w:hAnsi="宋体" w:eastAsia="宋体" w:cs="宋体"/>
                <w:b/>
                <w:color w:val="000000"/>
                <w:szCs w:val="21"/>
                <w:highlight w:val="none"/>
              </w:rPr>
            </w:r>
            <w:r/>
          </w:p>
        </w:tc>
        <w:tc>
          <w:tcPr>
            <w:gridSpan w:val="4"/>
            <w:tcW w:w="2809" w:type="dxa"/>
            <w:vAlign w:val="center"/>
            <w:textDirection w:val="lrTb"/>
            <w:noWrap w:val="false"/>
          </w:tcPr>
          <w:p>
            <w:pPr>
              <w:pStyle w:val="11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gridSpan w:val="2"/>
            <w:tcW w:w="1993" w:type="dxa"/>
            <w:vAlign w:val="center"/>
            <w:textDirection w:val="lrTb"/>
            <w:noWrap w:val="false"/>
          </w:tcPr>
          <w:p>
            <w:pPr>
              <w:pStyle w:val="11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按比例计取</w:t>
            </w:r>
            <w:r>
              <w:rPr>
                <w:rFonts w:hint="eastAsia" w:ascii="宋体" w:hAnsi="宋体" w:eastAsia="宋体" w:cs="宋体"/>
                <w:b/>
                <w:color w:val="000000"/>
                <w:szCs w:val="21"/>
                <w:highlight w:val="none"/>
              </w:rPr>
            </w:r>
            <w:r/>
          </w:p>
        </w:tc>
      </w:tr>
      <w:tr>
        <w:trPr>
          <w:trHeight w:val="491"/>
        </w:trPr>
        <w:tc>
          <w:tcPr>
            <w:gridSpan w:val="3"/>
            <w:tcW w:w="3828" w:type="dxa"/>
            <w:vAlign w:val="center"/>
            <w:textDirection w:val="lrTb"/>
            <w:noWrap w:val="false"/>
          </w:tcPr>
          <w:p>
            <w:pPr>
              <w:pStyle w:val="119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每年合计（元/年）</w:t>
            </w:r>
            <w:r>
              <w:rPr>
                <w:rFonts w:hint="eastAsia" w:ascii="宋体" w:hAnsi="宋体" w:eastAsia="宋体" w:cs="宋体"/>
                <w:b/>
                <w:color w:val="000000"/>
                <w:szCs w:val="21"/>
                <w:highlight w:val="none"/>
              </w:rPr>
            </w:r>
            <w:r/>
          </w:p>
        </w:tc>
        <w:tc>
          <w:tcPr>
            <w:gridSpan w:val="6"/>
            <w:tcW w:w="4802"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w:t>
            </w: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1"/>
        </w:trPr>
        <w:tc>
          <w:tcPr>
            <w:gridSpan w:val="3"/>
            <w:tcW w:w="3828" w:type="dxa"/>
            <w:vAlign w:val="center"/>
            <w:textDirection w:val="lrTb"/>
            <w:noWrap w:val="false"/>
          </w:tcPr>
          <w:p>
            <w:pPr>
              <w:pStyle w:val="1197"/>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投标总价（</w:t>
            </w:r>
            <w:r>
              <w:rPr>
                <w:rFonts w:hint="eastAsia" w:ascii="宋体" w:hAnsi="宋体" w:eastAsia="宋体" w:cs="宋体"/>
                <w:b/>
                <w:color w:val="000000"/>
                <w:szCs w:val="21"/>
                <w:highlight w:val="none"/>
                <w:lang w:val="en-US" w:eastAsia="zh-CN"/>
              </w:rPr>
              <w:t xml:space="preserve">元/贰年</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tc>
        <w:tc>
          <w:tcPr>
            <w:gridSpan w:val="6"/>
            <w:tcW w:w="4802"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119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197"/>
        <w:keepLines w:val="0"/>
        <w:keepNext w:val="0"/>
        <w:pageBreakBefore w:val="0"/>
        <w:spacing w:line="360" w:lineRule="exact"/>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注：填报要求：</w:t>
      </w:r>
      <w:r>
        <w:rPr>
          <w:rFonts w:hint="eastAsia" w:ascii="宋体" w:hAnsi="宋体" w:eastAsia="宋体" w:cs="宋体"/>
          <w:b/>
          <w:color w:val="000000"/>
          <w:szCs w:val="21"/>
          <w:highlight w:val="none"/>
        </w:rPr>
      </w:r>
      <w:r/>
    </w:p>
    <w:p>
      <w:pPr>
        <w:pStyle w:val="1197"/>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1.如果按单价计算的结果与总价不一致，以单价为准修正总价。</w:t>
      </w:r>
      <w:r>
        <w:rPr>
          <w:rFonts w:hint="eastAsia" w:ascii="宋体" w:hAnsi="宋体" w:eastAsia="宋体" w:cs="宋体"/>
          <w:color w:val="000000"/>
          <w:szCs w:val="21"/>
          <w:highlight w:val="none"/>
        </w:rPr>
      </w:r>
      <w:r/>
    </w:p>
    <w:p>
      <w:pPr>
        <w:pStyle w:val="1197"/>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2.“投标分项报价表”中的合计数应与“开标一览表”中的总报价一致；如有不一致，以“开标一览表”中的总报价为准。</w:t>
      </w:r>
      <w:r>
        <w:rPr>
          <w:rFonts w:hint="eastAsia" w:ascii="宋体" w:hAnsi="宋体" w:eastAsia="宋体" w:cs="宋体"/>
          <w:color w:val="000000"/>
          <w:szCs w:val="21"/>
          <w:highlight w:val="none"/>
        </w:rPr>
      </w:r>
      <w:r/>
    </w:p>
    <w:p>
      <w:pPr>
        <w:pStyle w:val="1197"/>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t xml:space="preserve">工资、社保费按人均计算。作业人员按</w:t>
      </w:r>
      <w:r>
        <w:rPr>
          <w:rFonts w:hint="eastAsia" w:ascii="宋体" w:hAnsi="宋体" w:eastAsia="宋体" w:cs="宋体"/>
          <w:b/>
          <w:bCs/>
          <w:color w:val="000000"/>
          <w:szCs w:val="21"/>
          <w:highlight w:val="none"/>
          <w:lang w:val="en-US" w:eastAsia="zh-CN"/>
        </w:rPr>
        <w:t xml:space="preserve">5</w:t>
      </w:r>
      <w:r>
        <w:rPr>
          <w:rFonts w:hint="eastAsia" w:ascii="宋体" w:hAnsi="宋体" w:eastAsia="宋体" w:cs="宋体"/>
          <w:b/>
          <w:bCs/>
          <w:color w:val="000000"/>
          <w:szCs w:val="21"/>
          <w:highlight w:val="none"/>
        </w:rPr>
        <w:t xml:space="preserve">人计算</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Cs w:val="21"/>
          <w:highlight w:val="none"/>
        </w:rPr>
      </w:r>
      <w:r/>
    </w:p>
    <w:p>
      <w:pPr>
        <w:pStyle w:val="1197"/>
        <w:keepLines w:val="0"/>
        <w:keepNext w:val="0"/>
        <w:pageBreakBefore w:val="0"/>
        <w:spacing w:line="360" w:lineRule="exact"/>
        <w:widowControl w:val="off"/>
        <w:rPr>
          <w:rFonts w:hint="eastAsia" w:ascii="宋体" w:hAnsi="宋体" w:eastAsia="宋体" w:cs="宋体"/>
          <w:color w:val="000000"/>
          <w:szCs w:val="21"/>
          <w:highlight w:val="none"/>
          <w:lang w:val="zh-CN"/>
        </w:rPr>
      </w:pPr>
      <w:r>
        <w:rPr>
          <w:rFonts w:hint="eastAsia" w:ascii="宋体" w:hAnsi="宋体" w:eastAsia="宋体" w:cs="宋体"/>
          <w:b/>
          <w:color w:val="000000"/>
          <w:szCs w:val="21"/>
          <w:highlight w:val="none"/>
        </w:rPr>
        <w:t xml:space="preserve">4.</w:t>
      </w:r>
      <w:r>
        <w:rPr>
          <w:rFonts w:hint="eastAsia" w:ascii="宋体" w:hAnsi="宋体" w:eastAsia="宋体" w:cs="宋体"/>
          <w:b/>
          <w:bCs/>
          <w:color w:val="000000"/>
          <w:szCs w:val="21"/>
          <w:highlight w:val="none"/>
        </w:rPr>
        <w:t xml:space="preserve">（1）工资标准不低于2490元/人•月</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社保月缴费基数为4952元，缴费比例不低于2</w:t>
      </w:r>
      <w:r>
        <w:rPr>
          <w:rFonts w:hint="eastAsia" w:ascii="宋体" w:hAnsi="宋体" w:eastAsia="宋体" w:cs="宋体"/>
          <w:b/>
          <w:bCs/>
          <w:color w:val="000000"/>
          <w:szCs w:val="21"/>
          <w:highlight w:val="none"/>
          <w:lang w:val="en-US" w:eastAsia="zh-CN"/>
        </w:rPr>
        <w:t xml:space="preserve">5</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7</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高温费按不低于1200元/人•年计算</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）分项报价表中各分项合计、小计、</w:t>
      </w:r>
      <w:r>
        <w:rPr>
          <w:rFonts w:hint="eastAsia" w:ascii="宋体" w:hAnsi="宋体" w:eastAsia="宋体" w:cs="宋体"/>
          <w:b/>
          <w:bCs/>
          <w:color w:val="000000"/>
          <w:szCs w:val="21"/>
          <w:highlight w:val="none"/>
          <w:lang w:val="en-US" w:eastAsia="zh-CN"/>
        </w:rPr>
        <w:t xml:space="preserve">税金合计、投标总价</w:t>
      </w:r>
      <w:r>
        <w:rPr>
          <w:rFonts w:hint="eastAsia" w:ascii="宋体" w:hAnsi="宋体" w:eastAsia="宋体" w:cs="宋体"/>
          <w:b/>
          <w:bCs/>
          <w:color w:val="000000"/>
          <w:szCs w:val="21"/>
          <w:highlight w:val="none"/>
        </w:rPr>
        <w:t xml:space="preserve">计算结果精确到个位（元），其它运算过程均不得取舍（本项为实质性要求）</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（3）上表中各工种岗位表式不得随意更改，人数不得低于表中人数（本项为实质性要求）。</w:t>
      </w:r>
      <w:r>
        <w:rPr>
          <w:rFonts w:hint="eastAsia" w:ascii="宋体" w:hAnsi="宋体" w:eastAsia="宋体" w:cs="宋体"/>
          <w:color w:val="000000"/>
          <w:szCs w:val="21"/>
          <w:highlight w:val="none"/>
          <w:lang w:val="zh-CN"/>
        </w:rPr>
      </w:r>
      <w:r/>
    </w:p>
    <w:p>
      <w:pPr>
        <w:pStyle w:val="1197"/>
        <w:keepLines w:val="0"/>
        <w:keepNext w:val="0"/>
        <w:pageBreakBefore w:val="0"/>
        <w:spacing w:line="360" w:lineRule="exact"/>
        <w:widowControl w:val="off"/>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5.投标报价</w:t>
      </w:r>
      <w:r>
        <w:rPr>
          <w:rFonts w:hint="eastAsia" w:ascii="宋体" w:hAnsi="宋体" w:eastAsia="宋体" w:cs="宋体"/>
          <w:b/>
          <w:bCs/>
          <w:color w:val="000000"/>
          <w:szCs w:val="21"/>
          <w:highlight w:val="none"/>
          <w:lang w:eastAsia="zh-CN"/>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w:t>
      </w:r>
      <w:r>
        <w:rPr>
          <w:rFonts w:ascii="宋体" w:hAnsi="宋体" w:eastAsia="宋体" w:cs="宋体"/>
          <w:color w:val="000000"/>
          <w:szCs w:val="21"/>
          <w:highlight w:val="none"/>
          <w:lang w:val="en-US" w:eastAsia="zh-CN"/>
        </w:rPr>
      </w:r>
      <w:r/>
    </w:p>
    <w:p>
      <w:pPr>
        <w:pStyle w:val="1197"/>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b/>
          <w:color w:val="000000"/>
          <w:szCs w:val="21"/>
          <w:highlight w:val="none"/>
          <w:lang w:val="en-US" w:eastAsia="zh-CN"/>
        </w:rPr>
        <w:t xml:space="preserve">6</w:t>
      </w:r>
      <w:r>
        <w:rPr>
          <w:rFonts w:hint="eastAsia" w:ascii="宋体" w:hAnsi="宋体" w:eastAsia="宋体" w:cs="宋体"/>
          <w:b/>
          <w:color w:val="000000"/>
          <w:szCs w:val="21"/>
          <w:highlight w:val="none"/>
        </w:rPr>
        <w:t xml:space="preserve">.如不提供详细分项报价或填报不符合实质性要求将被视为无效响应文件。</w:t>
      </w:r>
      <w:r>
        <w:rPr>
          <w:rFonts w:hint="eastAsia" w:ascii="宋体" w:hAnsi="宋体" w:eastAsia="宋体" w:cs="宋体"/>
          <w:color w:val="000000"/>
          <w:sz w:val="21"/>
          <w:szCs w:val="21"/>
          <w:highlight w:val="none"/>
        </w:rPr>
      </w:r>
      <w:r/>
    </w:p>
    <w:p>
      <w:pPr>
        <w:pStyle w:val="1197"/>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ind w:firstLine="21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197"/>
        <w:ind w:firstLine="21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197"/>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合同条款偏离表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1197"/>
        <w:spacing w:line="360" w:lineRule="auto"/>
        <w:rPr>
          <w:color w:val="000000"/>
          <w:sz w:val="24"/>
          <w:szCs w:val="20"/>
          <w:highlight w:val="none"/>
        </w:rPr>
      </w:pPr>
      <w:r>
        <w:rPr>
          <w:color w:val="000000"/>
          <w:sz w:val="24"/>
          <w:szCs w:val="20"/>
          <w:highlight w:val="none"/>
        </w:rPr>
      </w:r>
      <w:r/>
    </w:p>
    <w:p>
      <w:pPr>
        <w:pStyle w:val="1197"/>
        <w:jc w:val="center"/>
        <w:rPr>
          <w:b/>
          <w:color w:val="000000"/>
          <w:sz w:val="32"/>
          <w:szCs w:val="32"/>
          <w:highlight w:val="none"/>
        </w:rPr>
      </w:pPr>
      <w:r>
        <w:rPr>
          <w:rFonts w:hint="eastAsia"/>
          <w:b/>
          <w:color w:val="000000"/>
          <w:sz w:val="32"/>
          <w:szCs w:val="32"/>
          <w:highlight w:val="none"/>
        </w:rPr>
        <w:t xml:space="preserve">合同条款偏离表</w:t>
      </w:r>
      <w:r>
        <w:rPr>
          <w:b/>
          <w:color w:val="000000"/>
          <w:sz w:val="32"/>
          <w:szCs w:val="32"/>
          <w:highlight w:val="none"/>
        </w:rPr>
      </w:r>
      <w:r/>
    </w:p>
    <w:p>
      <w:pPr>
        <w:pStyle w:val="1197"/>
        <w:spacing w:line="360" w:lineRule="auto"/>
        <w:rPr>
          <w:color w:val="000000"/>
          <w:sz w:val="24"/>
          <w:szCs w:val="20"/>
          <w:highlight w:val="none"/>
        </w:rPr>
      </w:pPr>
      <w:r>
        <w:rPr>
          <w:color w:val="000000"/>
          <w:sz w:val="24"/>
          <w:szCs w:val="20"/>
          <w:highlight w:val="none"/>
        </w:rPr>
      </w:r>
      <w:r/>
    </w:p>
    <w:p>
      <w:pPr>
        <w:pStyle w:val="1197"/>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项目编号：_______________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项目名称：_____________________</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197"/>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对本项目合同条款的偏离情况（请进行勾选）：</w:t>
            </w:r>
            <w:r>
              <w:rPr>
                <w:rFonts w:hint="eastAsia" w:ascii="宋体" w:hAnsi="宋体" w:eastAsia="宋体" w:cs="宋体"/>
                <w:b/>
                <w:color w:val="000000"/>
                <w:sz w:val="21"/>
                <w:szCs w:val="21"/>
                <w:highlight w:val="none"/>
              </w:rPr>
            </w:r>
            <w:r/>
          </w:p>
          <w:p>
            <w:pPr>
              <w:pStyle w:val="1197"/>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□无偏离</w:t>
            </w:r>
            <w:r>
              <w:rPr>
                <w:rFonts w:hint="eastAsia" w:ascii="宋体" w:hAnsi="宋体" w:eastAsia="宋体" w:cs="宋体"/>
                <w:color w:val="000000"/>
                <w:sz w:val="21"/>
                <w:szCs w:val="21"/>
                <w:highlight w:val="none"/>
              </w:rPr>
              <w:t xml:space="preserve">（如无偏离，仅勾选无偏离即可）</w:t>
            </w:r>
            <w:r>
              <w:rPr>
                <w:rFonts w:hint="eastAsia" w:ascii="宋体" w:hAnsi="宋体" w:eastAsia="宋体" w:cs="宋体"/>
                <w:b/>
                <w:color w:val="000000"/>
                <w:sz w:val="21"/>
                <w:szCs w:val="21"/>
                <w:highlight w:val="none"/>
              </w:rPr>
            </w:r>
            <w:r/>
          </w:p>
          <w:p>
            <w:pPr>
              <w:pStyle w:val="1197"/>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□有偏离</w:t>
            </w:r>
            <w:r>
              <w:rPr>
                <w:rFonts w:hint="eastAsia" w:ascii="宋体" w:hAnsi="宋体" w:eastAsia="宋体" w:cs="宋体"/>
                <w:color w:val="000000"/>
                <w:sz w:val="21"/>
                <w:szCs w:val="21"/>
                <w:highlight w:val="none"/>
              </w:rPr>
              <w:t xml:space="preserve">（如有负偏离，则须在本表中对负偏离项逐一列明）</w:t>
            </w: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磋商文件条目号（页码）</w:t>
            </w: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响应文件内容</w:t>
            </w: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97"/>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197"/>
        <w:jc w:val="left"/>
        <w:tabs>
          <w:tab w:val="left" w:pos="1800" w:leader="none"/>
          <w:tab w:val="left" w:pos="558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rPr>
        <w:t xml:space="preserve">对合同条款中的所有要求，除本表所列明的所有偏离外，均视作供应商已对之理解和响应。</w:t>
      </w:r>
      <w:r>
        <w:rPr>
          <w:rFonts w:hint="eastAsia" w:ascii="宋体" w:hAnsi="宋体" w:eastAsia="宋体" w:cs="宋体"/>
          <w:sz w:val="21"/>
          <w:szCs w:val="21"/>
          <w:highlight w:val="none"/>
        </w:rPr>
      </w:r>
      <w:r/>
    </w:p>
    <w:p>
      <w:pPr>
        <w:pStyle w:val="1197"/>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2.“偏离情况”列应</w:t>
      </w:r>
      <w:r>
        <w:rPr>
          <w:rFonts w:hint="eastAsia" w:ascii="宋体" w:hAnsi="宋体" w:eastAsia="宋体" w:cs="宋体"/>
          <w:color w:val="000000"/>
          <w:sz w:val="21"/>
          <w:szCs w:val="21"/>
          <w:highlight w:val="none"/>
        </w:rPr>
        <w:t xml:space="preserve">据实</w:t>
      </w:r>
      <w:r>
        <w:rPr>
          <w:rFonts w:hint="eastAsia" w:ascii="宋体" w:hAnsi="宋体" w:eastAsia="宋体" w:cs="宋体"/>
          <w:sz w:val="21"/>
          <w:szCs w:val="21"/>
          <w:highlight w:val="none"/>
        </w:rPr>
        <w:t xml:space="preserve">填写“正偏离”或“负偏离”。</w:t>
      </w:r>
      <w:r>
        <w:rPr>
          <w:rFonts w:hint="eastAsia" w:ascii="宋体" w:hAnsi="宋体" w:eastAsia="宋体" w:cs="宋体"/>
          <w:color w:val="000000"/>
          <w:sz w:val="21"/>
          <w:szCs w:val="21"/>
          <w:highlight w:val="none"/>
        </w:rPr>
      </w:r>
      <w:r/>
    </w:p>
    <w:p>
      <w:pPr>
        <w:pStyle w:val="119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197"/>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199"/>
        <w:jc w:val="both"/>
        <w:rPr>
          <w:rFonts w:hint="eastAsia"/>
          <w:highlight w:val="none"/>
          <w:lang w:val="zh-CN"/>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highlight w:val="none"/>
          <w:lang w:val="zh-CN"/>
        </w:rPr>
      </w:r>
      <w:r/>
    </w:p>
    <w:p>
      <w:pPr>
        <w:pStyle w:val="1197"/>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197"/>
        <w:spacing w:line="360" w:lineRule="auto"/>
        <w:rPr>
          <w:rFonts w:hint="eastAsia" w:ascii="宋体" w:hAnsi="宋体" w:eastAsia="宋体" w:cs="宋体"/>
          <w:color w:val="000000"/>
          <w:sz w:val="21"/>
          <w:szCs w:val="21"/>
          <w:highlight w:val="none"/>
          <w:lang w:val="en-US" w:eastAsia="zh-CN"/>
        </w:rPr>
        <w:outlineLvl w:val="2"/>
      </w:pPr>
      <w:r>
        <w:rPr>
          <w:rFonts w:hint="eastAsia" w:ascii="宋体" w:hAnsi="宋体" w:eastAsia="宋体" w:cs="宋体"/>
          <w:color w:val="000000"/>
          <w:sz w:val="21"/>
          <w:szCs w:val="21"/>
          <w:highlight w:val="none"/>
        </w:rPr>
        <w:br w:type="page" w:clear="all"/>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.采购需求偏离表</w:t>
      </w:r>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lang w:val="en-US" w:eastAsia="zh-CN"/>
        </w:rPr>
      </w:r>
      <w:r/>
    </w:p>
    <w:p>
      <w:pPr>
        <w:pStyle w:val="1197"/>
        <w:jc w:val="center"/>
        <w:rPr>
          <w:rFonts w:hint="eastAsia" w:ascii="Times New Roman" w:hAnsi="Times New Roman" w:eastAsia="宋体" w:cs="Times New Roman"/>
          <w:b/>
          <w:color w:val="000000"/>
          <w:sz w:val="32"/>
          <w:szCs w:val="32"/>
          <w:highlight w:val="none"/>
        </w:rPr>
      </w:pPr>
      <w:r>
        <w:rPr>
          <w:rFonts w:hint="eastAsia" w:ascii="Times New Roman" w:hAnsi="Times New Roman" w:eastAsia="宋体" w:cs="Times New Roman"/>
          <w:b/>
          <w:color w:val="000000"/>
          <w:sz w:val="32"/>
          <w:szCs w:val="32"/>
          <w:highlight w:val="none"/>
        </w:rPr>
        <w:t xml:space="preserve">采购需求偏离表</w:t>
      </w:r>
      <w:r>
        <w:rPr>
          <w:rFonts w:hint="eastAsia" w:ascii="Times New Roman" w:hAnsi="Times New Roman" w:eastAsia="宋体" w:cs="Times New Roman"/>
          <w:b/>
          <w:color w:val="000000"/>
          <w:sz w:val="32"/>
          <w:szCs w:val="32"/>
          <w:highlight w:val="none"/>
        </w:rPr>
      </w:r>
      <w:r/>
    </w:p>
    <w:p>
      <w:pPr>
        <w:pStyle w:val="1197"/>
        <w:jc w:val="center"/>
        <w:rPr>
          <w:color w:val="000000"/>
          <w:sz w:val="36"/>
          <w:szCs w:val="36"/>
          <w:highlight w:val="none"/>
        </w:rPr>
      </w:pPr>
      <w:r>
        <w:rPr>
          <w:color w:val="000000"/>
          <w:sz w:val="36"/>
          <w:szCs w:val="36"/>
          <w:highlight w:val="none"/>
        </w:rPr>
      </w:r>
      <w:r/>
    </w:p>
    <w:p>
      <w:pPr>
        <w:pStyle w:val="1197"/>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项目编号/包号：_____________________     项目名称：_______________________</w:t>
      </w:r>
      <w:r>
        <w:rPr>
          <w:rFonts w:hint="eastAsia" w:ascii="宋体" w:hAnsi="宋体" w:eastAsia="宋体" w:cs="宋体"/>
          <w:color w:val="000000"/>
          <w:sz w:val="21"/>
          <w:szCs w:val="21"/>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磋商文件条目号(页码)</w:t>
            </w: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响应内容</w:t>
            </w: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19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97"/>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197"/>
        <w:jc w:val="left"/>
        <w:tabs>
          <w:tab w:val="left" w:pos="1800" w:leader="none"/>
          <w:tab w:val="left" w:pos="558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rPr>
        <w:t xml:space="preserve">对磋商文件中的所有商务、技术要求，除本表所列明的所有偏离外，均视作供应商已对之理解和响应。此表中若无任何文字说明，内容为空白，则</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97"/>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“偏离情况”列应</w:t>
      </w:r>
      <w:r>
        <w:rPr>
          <w:rFonts w:hint="eastAsia" w:ascii="宋体" w:hAnsi="宋体" w:eastAsia="宋体" w:cs="宋体"/>
          <w:color w:val="000000"/>
          <w:sz w:val="21"/>
          <w:szCs w:val="21"/>
          <w:highlight w:val="none"/>
        </w:rPr>
        <w:t xml:space="preserve">据实</w:t>
      </w:r>
      <w:r>
        <w:rPr>
          <w:rFonts w:hint="eastAsia" w:ascii="宋体" w:hAnsi="宋体" w:eastAsia="宋体" w:cs="宋体"/>
          <w:sz w:val="21"/>
          <w:szCs w:val="21"/>
          <w:highlight w:val="none"/>
        </w:rPr>
        <w:t xml:space="preserve">填写“正偏离”或“负偏离”。</w:t>
      </w:r>
      <w:r>
        <w:rPr>
          <w:rFonts w:hint="eastAsia" w:ascii="宋体" w:hAnsi="宋体" w:eastAsia="宋体" w:cs="宋体"/>
          <w:color w:val="000000"/>
          <w:sz w:val="21"/>
          <w:szCs w:val="21"/>
          <w:highlight w:val="none"/>
        </w:rPr>
      </w:r>
      <w:r/>
    </w:p>
    <w:p>
      <w:pPr>
        <w:pStyle w:val="1197"/>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197"/>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199"/>
        <w:jc w:val="both"/>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rPr>
      </w:r>
      <w:r/>
    </w:p>
    <w:p>
      <w:pPr>
        <w:pStyle w:val="1197"/>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197"/>
        <w:jc w:val="lef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97"/>
        <w:spacing w:line="360" w:lineRule="auto"/>
        <w:rPr>
          <w:color w:val="000000"/>
          <w:sz w:val="24"/>
          <w:highlight w:val="none"/>
        </w:rPr>
      </w:pPr>
      <w:r>
        <w:rPr>
          <w:color w:val="000000"/>
          <w:sz w:val="24"/>
          <w:highlight w:val="none"/>
        </w:rPr>
      </w:r>
      <w:r/>
    </w:p>
    <w:p>
      <w:pPr>
        <w:pStyle w:val="1197"/>
        <w:spacing w:before="240" w:after="240" w:line="360" w:lineRule="auto"/>
        <w:rPr>
          <w:color w:val="000000"/>
          <w:sz w:val="24"/>
          <w:highlight w:val="none"/>
        </w:rPr>
      </w:pPr>
      <w:r>
        <w:rPr>
          <w:color w:val="000000"/>
          <w:sz w:val="24"/>
          <w:highlight w:val="none"/>
        </w:rPr>
      </w:r>
      <w:r/>
    </w:p>
    <w:p>
      <w:pPr>
        <w:pStyle w:val="1197"/>
        <w:spacing w:before="240" w:after="240" w:line="360" w:lineRule="auto"/>
        <w:rPr>
          <w:rFonts w:hint="eastAsia" w:ascii="宋体" w:hAnsi="宋体" w:eastAsia="宋体" w:cs="宋体"/>
          <w:color w:val="000000"/>
          <w:sz w:val="21"/>
          <w:szCs w:val="21"/>
          <w:highlight w:val="none"/>
        </w:rPr>
      </w:pPr>
      <w:r>
        <w:rPr>
          <w:color w:val="000000"/>
          <w:sz w:val="24"/>
          <w:highlight w:val="none"/>
        </w:rPr>
        <w:t xml:space="preserve"> </w:t>
      </w:r>
      <w:r>
        <w:rPr>
          <w:rFonts w:hint="eastAsia" w:ascii="宋体" w:hAnsi="宋体" w:eastAsia="宋体" w:cs="宋体"/>
          <w:color w:val="000000"/>
          <w:sz w:val="21"/>
          <w:szCs w:val="21"/>
          <w:highlight w:val="none"/>
          <w:lang w:val="en-US" w:eastAsia="zh-CN"/>
        </w:rPr>
        <w:t xml:space="preserve">10.项</w:t>
      </w:r>
      <w:r>
        <w:rPr>
          <w:rFonts w:hint="eastAsia" w:ascii="宋体" w:hAnsi="宋体" w:eastAsia="宋体" w:cs="宋体"/>
          <w:color w:val="000000"/>
          <w:sz w:val="21"/>
          <w:szCs w:val="21"/>
          <w:highlight w:val="none"/>
        </w:rPr>
        <w:t xml:space="preserve">目实施方案等，包括但不限于如下主题：</w:t>
      </w:r>
      <w:r>
        <w:rPr>
          <w:rFonts w:hint="eastAsia" w:ascii="宋体" w:hAnsi="宋体" w:eastAsia="宋体" w:cs="宋体"/>
          <w:color w:val="000000"/>
          <w:sz w:val="21"/>
          <w:szCs w:val="21"/>
          <w:highlight w:val="none"/>
        </w:rPr>
      </w:r>
      <w:r/>
    </w:p>
    <w:p>
      <w:pPr>
        <w:pStyle w:val="1197"/>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1）人员培训方案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97"/>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清扫保洁作业方案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97"/>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管理架构、人员岗位配备及工作时间方案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97"/>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迎接重大活动及突发事件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97"/>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紧急情况处理方案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97"/>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安全作业保障措施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97"/>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文明保障措施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97"/>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恶劣天气应急预案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97"/>
        <w:spacing w:line="360" w:lineRule="auto"/>
        <w:rPr>
          <w:rFonts w:hint="eastAsia" w:eastAsia="宋体"/>
          <w:highlight w:val="none"/>
          <w:lang w:eastAsia="zh-CN"/>
        </w:rPr>
        <w:outlineLvl w:val="2"/>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制度和档案的建立与管理方案</w:t>
      </w:r>
      <w:r>
        <w:rPr>
          <w:rFonts w:hint="eastAsia" w:ascii="宋体" w:hAnsi="宋体" w:eastAsia="宋体" w:cs="宋体"/>
          <w:color w:val="000000"/>
          <w:sz w:val="21"/>
          <w:szCs w:val="21"/>
          <w:highlight w:val="none"/>
          <w:lang w:eastAsia="zh-CN"/>
        </w:rPr>
        <w:t xml:space="preserve">；</w:t>
      </w:r>
      <w:r>
        <w:rPr>
          <w:rFonts w:hint="eastAsia" w:eastAsia="宋体"/>
          <w:highlight w:val="none"/>
          <w:lang w:eastAsia="zh-CN"/>
        </w:rPr>
      </w:r>
      <w:r/>
    </w:p>
    <w:p>
      <w:pPr>
        <w:pStyle w:val="1197"/>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en-US" w:eastAsia="zh-CN"/>
        </w:rPr>
        <w:t xml:space="preserve">评标办法中涉及内容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97"/>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1197"/>
        <w:spacing w:line="360" w:lineRule="auto"/>
        <w:rPr>
          <w:rFonts w:hint="eastAsia"/>
          <w:color w:val="000000"/>
          <w:sz w:val="24"/>
          <w:szCs w:val="20"/>
          <w:highlight w:val="yellow"/>
        </w:rPr>
        <w:outlineLvl w:val="2"/>
      </w:pPr>
      <w:r>
        <w:rPr>
          <w:rFonts w:hint="eastAsia"/>
          <w:color w:val="000000"/>
          <w:sz w:val="24"/>
          <w:szCs w:val="20"/>
          <w:highlight w:val="yellow"/>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numPr>
          <w:ilvl w:val="0"/>
          <w:numId w:val="0"/>
        </w:numPr>
        <w:jc w:val="both"/>
        <w:spacing w:before="240" w:after="24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197"/>
        <w:numPr>
          <w:ilvl w:val="0"/>
          <w:numId w:val="0"/>
        </w:numPr>
        <w:jc w:val="both"/>
        <w:spacing w:before="240" w:after="24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参加本项目人员一览表</w:t>
      </w:r>
      <w:r>
        <w:rPr>
          <w:rFonts w:hint="eastAsia" w:ascii="宋体" w:hAnsi="宋体" w:eastAsia="宋体" w:cs="宋体"/>
          <w:color w:val="000000"/>
          <w:sz w:val="21"/>
          <w:szCs w:val="21"/>
          <w:highlight w:val="none"/>
        </w:rPr>
      </w:r>
      <w:r/>
    </w:p>
    <w:p>
      <w:pPr>
        <w:pStyle w:val="1197"/>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197"/>
        <w:spacing w:line="360" w:lineRule="auto"/>
        <w:rPr>
          <w:rFonts w:ascii="宋体" w:hAnsi="宋体"/>
          <w:sz w:val="22"/>
          <w:highlight w:val="none"/>
        </w:rPr>
      </w:pPr>
      <w:r>
        <w:rPr>
          <w:rFonts w:ascii="宋体" w:hAnsi="宋体"/>
          <w:sz w:val="22"/>
          <w:highlight w:val="none"/>
        </w:rPr>
      </w:r>
      <w:r/>
    </w:p>
    <w:p>
      <w:pPr>
        <w:pStyle w:val="119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074"/>
        <w:gridCol w:w="816"/>
        <w:gridCol w:w="945"/>
        <w:gridCol w:w="945"/>
        <w:gridCol w:w="945"/>
        <w:gridCol w:w="945"/>
      </w:tblGrid>
      <w:tr>
        <w:trPr/>
        <w:tc>
          <w:tcPr>
            <w:tcW w:w="945"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945"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rPr>
            </w:r>
            <w:r/>
          </w:p>
        </w:tc>
        <w:tc>
          <w:tcPr>
            <w:tcW w:w="945"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rPr>
                <w:rFonts w:hint="eastAsia" w:ascii="宋体" w:hAnsi="宋体" w:eastAsia="宋体" w:cs="宋体"/>
                <w:sz w:val="21"/>
                <w:szCs w:val="21"/>
                <w:highlight w:val="none"/>
              </w:rPr>
            </w:r>
            <w:r/>
          </w:p>
        </w:tc>
        <w:tc>
          <w:tcPr>
            <w:tcW w:w="945"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rPr>
                <w:rFonts w:hint="eastAsia" w:ascii="宋体" w:hAnsi="宋体" w:eastAsia="宋体" w:cs="宋体"/>
                <w:sz w:val="21"/>
                <w:szCs w:val="21"/>
                <w:highlight w:val="none"/>
              </w:rPr>
            </w:r>
            <w:r/>
          </w:p>
        </w:tc>
        <w:tc>
          <w:tcPr>
            <w:tcW w:w="1074"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毕业学校和学历</w:t>
            </w:r>
            <w:r>
              <w:rPr>
                <w:rFonts w:hint="eastAsia" w:ascii="宋体" w:hAnsi="宋体" w:eastAsia="宋体" w:cs="宋体"/>
                <w:sz w:val="21"/>
                <w:szCs w:val="21"/>
                <w:highlight w:val="none"/>
              </w:rPr>
            </w:r>
            <w:r/>
          </w:p>
        </w:tc>
        <w:tc>
          <w:tcPr>
            <w:tcW w:w="816"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专业</w:t>
            </w:r>
            <w:r>
              <w:rPr>
                <w:rFonts w:hint="eastAsia" w:ascii="宋体" w:hAnsi="宋体" w:eastAsia="宋体" w:cs="宋体"/>
                <w:sz w:val="21"/>
                <w:szCs w:val="21"/>
                <w:highlight w:val="none"/>
              </w:rPr>
            </w:r>
            <w:r/>
          </w:p>
        </w:tc>
        <w:tc>
          <w:tcPr>
            <w:tcW w:w="945"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职称</w:t>
            </w:r>
            <w:r>
              <w:rPr>
                <w:rFonts w:hint="eastAsia" w:ascii="宋体" w:hAnsi="宋体" w:eastAsia="宋体" w:cs="宋体"/>
                <w:sz w:val="21"/>
                <w:szCs w:val="21"/>
                <w:highlight w:val="none"/>
              </w:rPr>
            </w:r>
            <w:r/>
          </w:p>
        </w:tc>
        <w:tc>
          <w:tcPr>
            <w:tcW w:w="945"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专业培训及证书</w:t>
            </w:r>
            <w:r>
              <w:rPr>
                <w:rFonts w:hint="eastAsia" w:ascii="宋体" w:hAnsi="宋体" w:eastAsia="宋体" w:cs="宋体"/>
                <w:sz w:val="21"/>
                <w:szCs w:val="21"/>
                <w:highlight w:val="none"/>
              </w:rPr>
            </w:r>
            <w:r/>
          </w:p>
        </w:tc>
        <w:tc>
          <w:tcPr>
            <w:tcW w:w="945"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责任</w:t>
            </w:r>
            <w:r>
              <w:rPr>
                <w:rFonts w:hint="eastAsia" w:ascii="宋体" w:hAnsi="宋体" w:eastAsia="宋体" w:cs="宋体"/>
                <w:sz w:val="21"/>
                <w:szCs w:val="21"/>
                <w:highlight w:val="none"/>
              </w:rPr>
            </w:r>
            <w:r/>
          </w:p>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或分工</w:t>
            </w:r>
            <w:r>
              <w:rPr>
                <w:rFonts w:hint="eastAsia" w:ascii="宋体" w:hAnsi="宋体" w:eastAsia="宋体" w:cs="宋体"/>
                <w:sz w:val="21"/>
                <w:szCs w:val="21"/>
                <w:highlight w:val="none"/>
              </w:rPr>
            </w:r>
            <w:r/>
          </w:p>
        </w:tc>
        <w:tc>
          <w:tcPr>
            <w:tcW w:w="945"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项目经历或主要工作</w:t>
            </w:r>
            <w:r>
              <w:rPr>
                <w:rFonts w:hint="eastAsia" w:ascii="宋体" w:hAnsi="宋体" w:eastAsia="宋体" w:cs="宋体"/>
                <w:sz w:val="21"/>
                <w:szCs w:val="21"/>
                <w:highlight w:val="none"/>
              </w:rPr>
            </w:r>
            <w:r/>
          </w:p>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rPr>
                <w:rFonts w:hint="eastAsia" w:ascii="宋体" w:hAnsi="宋体" w:eastAsia="宋体" w:cs="宋体"/>
                <w:sz w:val="21"/>
                <w:szCs w:val="21"/>
                <w:highlight w:val="none"/>
              </w:rPr>
            </w:r>
            <w:r/>
          </w:p>
        </w:tc>
      </w:tr>
      <w:tr>
        <w:trPr/>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107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816"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r>
      <w:tr>
        <w:trPr/>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107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816"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r>
      <w:tr>
        <w:trPr/>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6"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6"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6"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107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816"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945"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r>
    </w:tbl>
    <w:p>
      <w:pPr>
        <w:pStyle w:val="1197"/>
        <w:tabs>
          <w:tab w:val="left" w:pos="9765" w:leader="none"/>
        </w:tabs>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r>
      <w:r/>
    </w:p>
    <w:p>
      <w:pPr>
        <w:pStyle w:val="1282"/>
        <w:rPr>
          <w:rFonts w:hint="eastAsia" w:ascii="宋体" w:eastAsia="宋体" w:cs="Times New Roman"/>
          <w:highlight w:val="none"/>
        </w:rPr>
      </w:pPr>
      <w:r>
        <w:rPr>
          <w:rFonts w:hint="eastAsia" w:ascii="宋体" w:eastAsia="宋体" w:cs="Times New Roman"/>
          <w:highlight w:val="none"/>
          <w:lang w:val="en-US" w:eastAsia="zh-CN"/>
        </w:rPr>
        <w:t xml:space="preserve">注：拟派</w:t>
      </w:r>
      <w:r>
        <w:rPr>
          <w:rFonts w:hint="eastAsia" w:ascii="宋体" w:eastAsia="宋体" w:cs="Times New Roman"/>
          <w:highlight w:val="none"/>
        </w:rPr>
        <w:t xml:space="preserve">参与本项目组负责人及管理成员情况（</w:t>
      </w:r>
      <w:r>
        <w:rPr>
          <w:rFonts w:hint="eastAsia" w:ascii="宋体" w:eastAsia="宋体" w:cs="Times New Roman"/>
          <w:highlight w:val="none"/>
          <w:lang w:val="en-US" w:eastAsia="zh-CN"/>
        </w:rPr>
        <w:t xml:space="preserve">可</w:t>
      </w:r>
      <w:r>
        <w:rPr>
          <w:rFonts w:hint="eastAsia" w:ascii="宋体" w:eastAsia="宋体" w:cs="Times New Roman"/>
          <w:highlight w:val="none"/>
        </w:rPr>
        <w:t xml:space="preserve">附人员学历、资质证书</w:t>
      </w:r>
      <w:r>
        <w:rPr>
          <w:rFonts w:hint="eastAsia" w:ascii="宋体" w:eastAsia="宋体" w:cs="Times New Roman"/>
          <w:highlight w:val="none"/>
          <w:lang w:val="en-US" w:eastAsia="zh-CN"/>
        </w:rPr>
        <w:t xml:space="preserve">扫描件等材料）</w:t>
      </w:r>
      <w:r>
        <w:rPr>
          <w:rFonts w:hint="eastAsia" w:ascii="宋体" w:eastAsia="宋体" w:cs="Times New Roman"/>
          <w:highlight w:val="none"/>
        </w:rPr>
        <w:t xml:space="preserve">。</w:t>
      </w:r>
      <w:r>
        <w:rPr>
          <w:rFonts w:hint="eastAsia" w:ascii="宋体" w:eastAsia="宋体" w:cs="Times New Roman"/>
          <w:highlight w:val="none"/>
        </w:rPr>
      </w:r>
      <w:r/>
    </w:p>
    <w:p>
      <w:pPr>
        <w:pStyle w:val="128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97"/>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82"/>
        <w:rPr>
          <w:rFonts w:hint="eastAsia"/>
          <w:highlight w:val="none"/>
        </w:rPr>
      </w:pPr>
      <w:r>
        <w:rPr>
          <w:rFonts w:hint="eastAsia"/>
          <w:highlight w:val="none"/>
        </w:rPr>
      </w:r>
      <w:r/>
    </w:p>
    <w:p>
      <w:pPr>
        <w:pStyle w:val="1197"/>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197"/>
        <w:spacing w:before="25" w:after="25" w:line="360" w:lineRule="auto"/>
        <w:rPr>
          <w:rFonts w:hint="eastAsia"/>
          <w:highlight w:val="none"/>
          <w:lang w:val="zh-CN"/>
        </w:rPr>
      </w:pPr>
      <w:r>
        <w:rPr>
          <w:rFonts w:hint="eastAsia" w:ascii="宋体" w:hAnsi="宋体" w:cs="宋体"/>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highlight w:val="none"/>
          <w:lang w:val="zh-CN"/>
        </w:rPr>
      </w:r>
      <w:r/>
    </w:p>
    <w:p>
      <w:pPr>
        <w:pStyle w:val="1197"/>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197"/>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br w:type="page" w:clear="all"/>
      </w:r>
      <w:bookmarkStart w:id="743" w:name="_Toc288738839"/>
      <w:r/>
      <w:bookmarkStart w:id="744" w:name="_Toc288738397"/>
      <w:r>
        <w:rPr>
          <w:rFonts w:hint="eastAsia" w:ascii="宋体" w:hAnsi="宋体" w:eastAsia="宋体" w:cs="宋体"/>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相关业绩案例一览表</w:t>
      </w:r>
      <w:r>
        <w:rPr>
          <w:rFonts w:hint="eastAsia" w:ascii="宋体" w:hAnsi="宋体" w:eastAsia="宋体" w:cs="宋体"/>
          <w:color w:val="000000"/>
          <w:sz w:val="21"/>
          <w:szCs w:val="21"/>
          <w:highlight w:val="none"/>
          <w:lang w:val="en-US" w:eastAsia="zh-CN"/>
        </w:rPr>
      </w:r>
      <w:r/>
    </w:p>
    <w:p>
      <w:pPr>
        <w:pStyle w:val="1197"/>
        <w:rPr>
          <w:color w:val="000000"/>
          <w:sz w:val="24"/>
          <w:szCs w:val="20"/>
          <w:highlight w:val="none"/>
        </w:rPr>
      </w:pPr>
      <w:r>
        <w:rPr>
          <w:color w:val="000000"/>
          <w:sz w:val="24"/>
          <w:szCs w:val="20"/>
          <w:highlight w:val="none"/>
        </w:rPr>
      </w:r>
      <w:r/>
    </w:p>
    <w:p>
      <w:pPr>
        <w:pStyle w:val="1197"/>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相关业绩案例一览表</w:t>
      </w:r>
      <w:bookmarkEnd w:id="743"/>
      <w:r/>
      <w:bookmarkEnd w:id="744"/>
      <w:r>
        <w:rPr>
          <w:rFonts w:hint="eastAsia" w:ascii="宋体" w:hAnsi="宋体" w:eastAsia="宋体" w:cs="Times New Roman"/>
          <w:b/>
          <w:sz w:val="32"/>
          <w:szCs w:val="32"/>
          <w:highlight w:val="none"/>
        </w:rPr>
      </w:r>
      <w:r/>
    </w:p>
    <w:p>
      <w:pPr>
        <w:pStyle w:val="1197"/>
        <w:jc w:val="center"/>
        <w:spacing w:line="360" w:lineRule="auto"/>
        <w:rPr>
          <w:rFonts w:ascii="宋体" w:hAnsi="宋体"/>
          <w:b/>
          <w:sz w:val="28"/>
          <w:szCs w:val="30"/>
          <w:highlight w:val="none"/>
        </w:rPr>
      </w:pPr>
      <w:r>
        <w:rPr>
          <w:rFonts w:ascii="宋体" w:hAnsi="宋体"/>
          <w:b/>
          <w:sz w:val="28"/>
          <w:szCs w:val="30"/>
          <w:highlight w:val="none"/>
        </w:rPr>
      </w:r>
      <w:r/>
    </w:p>
    <w:p>
      <w:pPr>
        <w:pStyle w:val="119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项目时间</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项目甲方单位</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项目名称</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合同金额</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单位地址</w:t>
            </w: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联系电话</w:t>
            </w:r>
            <w:r>
              <w:rPr>
                <w:rFonts w:hint="eastAsia" w:ascii="宋体" w:hAnsi="宋体" w:eastAsia="宋体" w:cs="宋体"/>
                <w:sz w:val="21"/>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97"/>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97"/>
              <w:ind w:hanging="523"/>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97"/>
              <w:ind w:hanging="523"/>
              <w:jc w:val="center"/>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7"/>
              <w:spacing w:line="360" w:lineRule="auto"/>
              <w:tabs>
                <w:tab w:val="left" w:pos="976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97"/>
        <w:tabs>
          <w:tab w:val="left" w:pos="9765"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97"/>
        <w:ind w:firstLine="211"/>
        <w:jc w:val="left"/>
        <w:keepLines w:val="0"/>
        <w:keepNext w:val="0"/>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注: 1、本表后附合同扫描件，否则不予认可。</w:t>
      </w:r>
      <w:r>
        <w:rPr>
          <w:rFonts w:hint="eastAsia" w:ascii="宋体" w:hAnsi="宋体" w:eastAsia="宋体" w:cs="宋体"/>
          <w:b/>
          <w:bCs/>
          <w:color w:val="000000"/>
          <w:sz w:val="21"/>
          <w:szCs w:val="21"/>
          <w:highlight w:val="none"/>
          <w:lang w:val="en-US" w:eastAsia="zh-CN" w:bidi="ar"/>
        </w:rPr>
      </w:r>
      <w:r/>
    </w:p>
    <w:p>
      <w:pPr>
        <w:pStyle w:val="1197"/>
        <w:ind w:firstLine="632"/>
        <w:jc w:val="left"/>
        <w:keepLines w:val="0"/>
        <w:keepNext w:val="0"/>
        <w:widowControl/>
        <w:rPr>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2、本表可按同样格式扩展。</w:t>
      </w:r>
      <w:r>
        <w:rPr>
          <w:sz w:val="21"/>
          <w:szCs w:val="21"/>
          <w:highlight w:val="none"/>
        </w:rPr>
      </w:r>
      <w:r/>
    </w:p>
    <w:p>
      <w:pPr>
        <w:pStyle w:val="119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97"/>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7"/>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197"/>
        <w:spacing w:before="25" w:after="25" w:line="360" w:lineRule="auto"/>
        <w:rPr>
          <w:rFonts w:hint="eastAsia"/>
          <w:highlight w:val="none"/>
          <w:lang w:val="zh-CN"/>
        </w:rPr>
      </w:pPr>
      <w:r>
        <w:rPr>
          <w:rFonts w:hint="eastAsia" w:ascii="宋体" w:hAnsi="宋体" w:cs="宋体"/>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highlight w:val="none"/>
          <w:lang w:val="zh-CN"/>
        </w:rPr>
      </w:r>
      <w:r/>
    </w:p>
    <w:p>
      <w:pPr>
        <w:pStyle w:val="1197"/>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197"/>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1197"/>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hint="eastAsia"/>
          <w:color w:val="000000"/>
          <w:sz w:val="24"/>
          <w:szCs w:val="20"/>
          <w:highlight w:val="none"/>
        </w:rPr>
        <w:outlineLvl w:val="2"/>
      </w:pPr>
      <w:r>
        <w:rPr>
          <w:rFonts w:hint="eastAsia"/>
          <w:color w:val="000000"/>
          <w:sz w:val="24"/>
          <w:szCs w:val="20"/>
          <w:highlight w:val="none"/>
        </w:rPr>
      </w:r>
      <w:r/>
    </w:p>
    <w:p>
      <w:pPr>
        <w:pStyle w:val="1197"/>
        <w:spacing w:line="360" w:lineRule="auto"/>
        <w:rPr>
          <w:rFonts w:ascii="宋体" w:hAnsi="宋体" w:eastAsia="宋体" w:cs="宋体"/>
          <w:szCs w:val="21"/>
          <w:highlight w:val="none"/>
          <w:lang w:val="en-US" w:eastAsia="zh-CN"/>
        </w:rPr>
        <w:outlineLvl w:val="2"/>
      </w:pPr>
      <w:r>
        <w:rPr>
          <w:rFonts w:hint="eastAsia" w:ascii="宋体" w:hAnsi="宋体" w:eastAsia="宋体" w:cs="宋体"/>
          <w:sz w:val="21"/>
          <w:szCs w:val="21"/>
          <w:highlight w:val="none"/>
          <w:lang w:val="en-US" w:eastAsia="zh-CN"/>
        </w:rPr>
        <w:br w:type="page" w:clear="all"/>
      </w:r>
      <w:r>
        <w:rPr>
          <w:rFonts w:hint="eastAsia" w:ascii="宋体" w:hAnsi="宋体" w:eastAsia="宋体" w:cs="宋体"/>
          <w:szCs w:val="21"/>
          <w:highlight w:val="none"/>
          <w:lang w:val="en-US" w:eastAsia="zh-CN"/>
        </w:rPr>
        <w:t xml:space="preserve">13.关于磋商文件的询问内容</w:t>
      </w:r>
      <w:r>
        <w:rPr>
          <w:rFonts w:ascii="宋体" w:hAnsi="宋体" w:eastAsia="宋体" w:cs="宋体"/>
          <w:szCs w:val="21"/>
          <w:highlight w:val="none"/>
          <w:lang w:val="en-US" w:eastAsia="zh-CN"/>
        </w:rPr>
      </w:r>
      <w:r/>
    </w:p>
    <w:p>
      <w:pPr>
        <w:pStyle w:val="1197"/>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119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rPr>
      </w:r>
      <w:r/>
    </w:p>
    <w:p>
      <w:pPr>
        <w:pStyle w:val="119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19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u w:val="single"/>
          <w:shd w:val="clear" w:color="auto" w:fill="ffffff"/>
          <w:lang w:val="en-US" w:eastAsia="zh-CN" w:bidi="ar"/>
        </w:rPr>
      </w:r>
      <w:r/>
    </w:p>
    <w:p>
      <w:pPr>
        <w:pStyle w:val="119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rPr>
      </w:r>
      <w:r/>
    </w:p>
    <w:p>
      <w:pPr>
        <w:pStyle w:val="119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19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19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19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rPr>
      </w:r>
      <w:r/>
    </w:p>
    <w:p>
      <w:pPr>
        <w:pStyle w:val="119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19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197"/>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rPr>
      </w:r>
      <w:r/>
    </w:p>
    <w:p>
      <w:pPr>
        <w:pStyle w:val="1197"/>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197"/>
        <w:ind w:firstLine="378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197"/>
        <w:ind w:firstLine="378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sz w:val="21"/>
          <w:szCs w:val="21"/>
          <w:highlight w:val="none"/>
          <w:lang w:val="zh-CN"/>
        </w:rPr>
      </w:r>
      <w:r/>
    </w:p>
    <w:p>
      <w:pPr>
        <w:pStyle w:val="1197"/>
        <w:ind w:firstLine="3780"/>
        <w:spacing w:line="360" w:lineRule="auto"/>
        <w:rPr>
          <w:sz w:val="24"/>
          <w:highlight w:val="none"/>
        </w:rPr>
        <w:outlineLvl w:val="2"/>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lang w:val="en-US" w:eastAsia="zh-CN"/>
        </w:rPr>
        <w:t xml:space="preserve">14.磋商文件要求提供或供应商认为应附的其他材料</w:t>
      </w:r>
      <w:r>
        <w:rPr>
          <w:sz w:val="24"/>
          <w:highlight w:val="none"/>
        </w:rPr>
      </w:r>
      <w:r/>
    </w:p>
    <w:p>
      <w:pPr>
        <w:pStyle w:val="1197"/>
        <w:rPr>
          <w:b/>
          <w:sz w:val="36"/>
          <w:szCs w:val="36"/>
          <w:highlight w:val="none"/>
        </w:rPr>
      </w:pPr>
      <w:r>
        <w:rPr>
          <w:b/>
          <w:sz w:val="36"/>
          <w:szCs w:val="36"/>
          <w:highlight w:val="none"/>
        </w:rPr>
      </w:r>
      <w:r/>
    </w:p>
    <w:p>
      <w:pPr>
        <w:pStyle w:val="1197"/>
        <w:rPr>
          <w:color w:val="000000"/>
          <w:sz w:val="24"/>
          <w:highlight w:val="none"/>
          <w:lang w:val="zh-CN"/>
        </w:rPr>
      </w:pPr>
      <w:r>
        <w:rPr>
          <w:color w:val="000000"/>
          <w:sz w:val="24"/>
          <w:szCs w:val="20"/>
          <w:highlight w:val="none"/>
        </w:rPr>
        <w:t xml:space="preserve"> </w:t>
      </w:r>
      <w:r>
        <w:rPr>
          <w:color w:val="000000"/>
          <w:sz w:val="24"/>
          <w:highlight w:val="none"/>
          <w:lang w:val="zh-CN"/>
        </w:rPr>
      </w:r>
      <w:r/>
    </w:p>
    <w:p>
      <w:pPr>
        <w:pStyle w:val="1197"/>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97"/>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2"/>
          <w:szCs w:val="32"/>
          <w:highlight w:val="none"/>
        </w:rPr>
        <w:t xml:space="preserve">【以下无正文】</w:t>
      </w:r>
      <w:r>
        <w:rPr>
          <w:rFonts w:hint="eastAsia" w:ascii="宋体" w:hAnsi="宋体" w:eastAsia="宋体" w:cs="宋体"/>
          <w:b/>
          <w:color w:val="000000"/>
          <w:sz w:val="30"/>
          <w:szCs w:val="30"/>
          <w:highlight w:val="none"/>
        </w:rPr>
      </w:r>
      <w:r/>
    </w:p>
    <w:p>
      <w:pPr>
        <w:pStyle w:val="1197"/>
        <w:jc w:val="center"/>
        <w:rPr>
          <w:rFonts w:hint="eastAsia" w:ascii="宋体" w:hAnsi="宋体" w:eastAsia="宋体" w:cs="宋体"/>
          <w:bCs/>
          <w:color w:val="000000"/>
          <w:sz w:val="24"/>
          <w:szCs w:val="24"/>
          <w:highlight w:val="none"/>
        </w:rPr>
      </w:pPr>
      <w:r>
        <w:rPr>
          <w:rFonts w:hint="eastAsia" w:ascii="宋体" w:hAnsi="宋体" w:eastAsia="宋体" w:cs="宋体"/>
          <w:b/>
          <w:color w:val="000000"/>
          <w:sz w:val="30"/>
          <w:szCs w:val="30"/>
          <w:highlight w:val="none"/>
        </w:rPr>
        <w:t xml:space="preserve">*本</w:t>
      </w:r>
      <w:r>
        <w:rPr>
          <w:rFonts w:hint="eastAsia" w:ascii="宋体" w:hAnsi="宋体" w:eastAsia="宋体" w:cs="宋体"/>
          <w:b/>
          <w:color w:val="000000"/>
          <w:sz w:val="30"/>
          <w:szCs w:val="30"/>
          <w:highlight w:val="none"/>
          <w:lang w:eastAsia="zh-CN"/>
        </w:rPr>
        <w:t xml:space="preserve">磋商</w:t>
      </w:r>
      <w:r>
        <w:rPr>
          <w:rFonts w:hint="eastAsia" w:ascii="宋体" w:hAnsi="宋体" w:eastAsia="宋体" w:cs="宋体"/>
          <w:b/>
          <w:color w:val="000000"/>
          <w:sz w:val="30"/>
          <w:szCs w:val="30"/>
          <w:highlight w:val="none"/>
        </w:rPr>
        <w:t xml:space="preserve">文件的最终解释权归</w:t>
      </w:r>
      <w:r>
        <w:rPr>
          <w:rFonts w:hint="eastAsia" w:ascii="宋体" w:hAnsi="宋体" w:cs="宋体"/>
          <w:b/>
          <w:color w:val="000000"/>
          <w:sz w:val="30"/>
          <w:szCs w:val="30"/>
          <w:highlight w:val="none"/>
          <w:lang w:eastAsia="zh-CN"/>
        </w:rPr>
        <w:t xml:space="preserve">常州市阳峻项目管理有限公司</w:t>
      </w:r>
      <w:r>
        <w:rPr>
          <w:rFonts w:hint="eastAsia" w:ascii="宋体" w:hAnsi="宋体" w:eastAsia="宋体" w:cs="宋体"/>
          <w:b/>
          <w:color w:val="000000"/>
          <w:sz w:val="30"/>
          <w:szCs w:val="30"/>
          <w:highlight w:val="none"/>
        </w:rPr>
        <w:t xml:space="preserve">所有*</w:t>
      </w:r>
      <w:r>
        <w:rPr>
          <w:rFonts w:hint="eastAsia" w:ascii="宋体" w:hAnsi="宋体" w:eastAsia="宋体" w:cs="宋体"/>
          <w:bCs/>
          <w:color w:val="000000"/>
          <w:sz w:val="24"/>
          <w:szCs w:val="24"/>
          <w:highlight w:val="none"/>
        </w:rPr>
      </w:r>
      <w:r/>
    </w:p>
    <w:sectPr>
      <w:headerReference w:type="even" r:id="rId14"/>
      <w:headerReference w:type="first" r:id="rId15"/>
      <w:footerReference w:type="even" r:id="rId25"/>
      <w:footerReference w:type="first" r:id="rId26"/>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CESI黑体-GB2312">
    <w:panose1 w:val="020B0503020202020204"/>
  </w:font>
  <w:font w:name="Wingdings">
    <w:panose1 w:val="05000000000000000000"/>
  </w:font>
  <w:font w:name="font-weight : 400">
    <w:panose1 w:val="020B0503020202020204"/>
  </w:font>
  <w:font w:name="Tahoma">
    <w:panose1 w:val="020B0604030504040204"/>
  </w:font>
  <w:font w:name="ˎ̥">
    <w:panose1 w:val="020B0503020202020204"/>
  </w:font>
  <w:font w:name="楷体_GB2312">
    <w:panose1 w:val="0201060906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font-weight : 700">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tabs>
        <w:tab w:val="center" w:pos="4153" w:leader="none"/>
        <w:tab w:val="right" w:pos="8306" w:leader="none"/>
      </w:tabs>
      <w:rPr>
        <w:rStyle w:val="1272"/>
      </w:rPr>
      <w:framePr w:wrap="around" w:vAnchor="text" w:hAnchor="margin" w:xAlign="center" w:y="1"/>
    </w:pPr>
    <w:r>
      <w:fldChar w:fldCharType="begin"/>
    </w:r>
    <w:r>
      <w:rPr>
        <w:rStyle w:val="1272"/>
      </w:rPr>
      <w:instrText xml:space="preserve">PAGE  </w:instrText>
    </w:r>
    <w:r>
      <w:fldChar w:fldCharType="end"/>
    </w:r>
    <w:r>
      <w:rPr>
        <w:rStyle w:val="1272"/>
      </w:rPr>
    </w:r>
    <w:r/>
  </w:p>
  <w:p>
    <w:pPr>
      <w:pStyle w:val="124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tabs>
        <w:tab w:val="center" w:pos="4153" w:leader="none"/>
        <w:tab w:val="right" w:pos="8306" w:leader="none"/>
      </w:tabs>
      <w:rPr>
        <w:rStyle w:val="1272"/>
      </w:rPr>
      <w:framePr w:wrap="around" w:vAnchor="text" w:hAnchor="margin" w:xAlign="right" w:y="1"/>
    </w:pPr>
    <w:r>
      <w:rPr>
        <w:rStyle w:val="1272"/>
      </w:rPr>
      <w:fldChar w:fldCharType="begin"/>
    </w:r>
    <w:r>
      <w:rPr>
        <w:rStyle w:val="1272"/>
      </w:rPr>
      <w:instrText xml:space="preserve">PAGE  </w:instrText>
    </w:r>
    <w:r>
      <w:rPr>
        <w:rStyle w:val="1272"/>
      </w:rPr>
      <w:fldChar w:fldCharType="end"/>
    </w:r>
    <w:r>
      <w:rPr>
        <w:rStyle w:val="1272"/>
      </w:rPr>
    </w:r>
    <w:r/>
  </w:p>
  <w:p>
    <w:pPr>
      <w:pStyle w:val="1246"/>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right="360" w:firstLine="360"/>
      <w:tabs>
        <w:tab w:val="center" w:pos="4153" w:leader="none"/>
        <w:tab w:val="right" w:pos="8307" w:leader="none"/>
      </w:tabs>
      <w:rPr>
        <w:rFonts w:ascii="仿宋_GB2312" w:hAnsi="宋体" w:eastAsia="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197"/>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197"/>
                    </w:pPr>
                    <w:r/>
                    <w:r/>
                  </w:p>
                </w:txbxContent>
              </v:textbox>
            </v:shape>
          </w:pict>
        </mc:Fallback>
      </mc:AlternateContent>
    </w:r>
    <w:r>
      <w:rPr>
        <w:rFonts w:ascii="仿宋_GB2312" w:hAnsi="宋体" w:eastAsia="仿宋_GB2312"/>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right="360" w:firstLine="360"/>
      <w:tabs>
        <w:tab w:val="center" w:pos="4153" w:leader="none"/>
        <w:tab w:val="right" w:pos="8307" w:leader="none"/>
      </w:tabs>
      <w:rPr>
        <w:rFonts w:ascii="仿宋_GB2312" w:hAnsi="宋体" w:eastAsia="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197"/>
                          </w:pPr>
                          <w:r/>
                          <w:r/>
                        </w:p>
                      </w:txbxContent>
                    </wps:txbx>
                    <wps:bodyPr wrap="non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197"/>
                    </w:pPr>
                    <w:r/>
                    <w:r/>
                  </w:p>
                </w:txbxContent>
              </v:textbox>
            </v:shape>
          </w:pict>
        </mc:Fallback>
      </mc:AlternateContent>
    </w:r>
    <w:r>
      <w:rPr>
        <w:rFonts w:ascii="仿宋_GB2312" w:hAnsi="宋体" w:eastAsia="仿宋_GB2312"/>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right="360" w:firstLine="360"/>
      <w:tabs>
        <w:tab w:val="center" w:pos="4153" w:leader="none"/>
        <w:tab w:val="right" w:pos="8307" w:leader="none"/>
      </w:tabs>
      <w:rPr>
        <w:rFonts w:ascii="仿宋_GB2312" w:hAnsi="宋体" w:eastAsia="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197"/>
                          </w:pPr>
                          <w:r/>
                          <w:r/>
                        </w:p>
                      </w:txbxContent>
                    </wps:txbx>
                    <wps:bodyPr wrap="none" lIns="0" tIns="0" rIns="0" bIns="0" upright="1">
                      <a:spAutoFit/>
                    </wps:bodyPr>
                  </wps:wsp>
                </a:graphicData>
              </a:graphic>
            </wp:anchor>
          </w:drawing>
        </mc:Choice>
        <mc:Fallback>
          <w:pict>
            <v:shape id="shape 7" o:spid="_x0000_s7"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197"/>
                    </w:pPr>
                    <w:r/>
                    <w:r/>
                  </w:p>
                </w:txbxContent>
              </v:textbox>
            </v:shape>
          </w:pict>
        </mc:Fallback>
      </mc:AlternateContent>
    </w:r>
    <w:r>
      <w:rPr>
        <w:rFonts w:ascii="仿宋_GB2312" w:hAnsi="宋体" w:eastAsia="仿宋_GB2312"/>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tabs>
        <w:tab w:val="center" w:pos="4153" w:leader="none"/>
        <w:tab w:val="right" w:pos="8306" w:leader="none"/>
      </w:tabs>
      <w:rPr>
        <w:rStyle w:val="1272"/>
      </w:rPr>
      <w:framePr w:wrap="around" w:vAnchor="text" w:hAnchor="margin" w:xAlign="right" w:y="1"/>
    </w:pPr>
    <w:r>
      <w:rPr>
        <w:rStyle w:val="1272"/>
      </w:rPr>
      <w:fldChar w:fldCharType="begin"/>
    </w:r>
    <w:r>
      <w:rPr>
        <w:rStyle w:val="1272"/>
      </w:rPr>
      <w:instrText xml:space="preserve">PAGE  </w:instrText>
    </w:r>
    <w:r>
      <w:rPr>
        <w:rStyle w:val="1272"/>
      </w:rPr>
      <w:fldChar w:fldCharType="end"/>
    </w:r>
    <w:r>
      <w:rPr>
        <w:rStyle w:val="1272"/>
      </w:rPr>
    </w:r>
    <w:r/>
  </w:p>
  <w:p>
    <w:pPr>
      <w:pStyle w:val="1246"/>
      <w:ind w:right="360"/>
      <w:tabs>
        <w:tab w:val="center" w:pos="4153" w:leader="none"/>
        <w:tab w:val="right" w:pos="8306" w:leader="none"/>
      </w:tabs>
    </w:pPr>
    <w:r/>
    <w:r/>
  </w:p>
  <w:p>
    <w:pPr>
      <w:pStyle w:val="1197"/>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left"/>
      <w:tabs>
        <w:tab w:val="left" w:pos="2241" w:leader="none"/>
        <w:tab w:val="right" w:pos="8306" w:leader="none"/>
      </w:tabs>
      <w:pBdr>
        <w:bottom w:val="single" w:color="000000" w:sz="4" w:space="1"/>
      </w:pBdr>
    </w:pPr>
    <w:r>
      <w:rPr>
        <w:rFonts w:hint="eastAsia" w:eastAsia="宋体"/>
        <w:lang w:eastAsia="zh-CN"/>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lang w:eastAsia="zh-CN"/>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left"/>
      <w:tabs>
        <w:tab w:val="left" w:pos="2241" w:leader="none"/>
        <w:tab w:val="right" w:pos="8306" w:leader="none"/>
      </w:tabs>
      <w:pBdr>
        <w:bottom w:val="single" w:color="000000" w:sz="4" w:space="1"/>
      </w:pBdr>
    </w:pPr>
    <w:r>
      <w:rPr>
        <w:rFonts w:hint="eastAsia" w:eastAsia="宋体"/>
        <w:lang w:eastAsia="zh-CN"/>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lang w:eastAsia="zh-CN"/>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left"/>
      <w:tabs>
        <w:tab w:val="left" w:pos="2241" w:leader="none"/>
        <w:tab w:val="right" w:pos="8306" w:leader="none"/>
      </w:tabs>
      <w:pBdr>
        <w:bottom w:val="single" w:color="000000" w:sz="4" w:space="1"/>
      </w:pBdr>
    </w:pPr>
    <w:r>
      <w:rPr>
        <w:rFonts w:hint="eastAsia" w:eastAsia="宋体"/>
      </w:rPr>
      <mc:AlternateContent>
        <mc:Choice Requires="wpg">
          <w:drawing>
            <wp:inline xmlns:wp="http://schemas.openxmlformats.org/drawingml/2006/wordprocessingDrawing" distT="0" distB="0" distL="0" distR="0">
              <wp:extent cx="207651" cy="2032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rPr>
      <w:t xml:space="preserve">常州市阳峻项目管理有限公司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left"/>
      <w:tabs>
        <w:tab w:val="left" w:pos="2241" w:leader="none"/>
        <w:tab w:val="right" w:pos="8306" w:leader="none"/>
      </w:tabs>
      <w:pBdr>
        <w:bottom w:val="single" w:color="000000" w:sz="4" w:space="1"/>
      </w:pBdr>
    </w:pPr>
    <w:r>
      <w:rPr>
        <w:rFonts w:hint="eastAsia" w:eastAsia="宋体"/>
      </w:rPr>
      <mc:AlternateContent>
        <mc:Choice Requires="wpg">
          <w:drawing>
            <wp:inline xmlns:wp="http://schemas.openxmlformats.org/drawingml/2006/wordprocessingDrawing" distT="0" distB="0" distL="0" distR="0">
              <wp:extent cx="207651" cy="20320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rPr>
      <w:t xml:space="preserve">常州市阳峻项目管理有限公司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left"/>
      <w:tabs>
        <w:tab w:val="left" w:pos="2241" w:leader="none"/>
        <w:tab w:val="right" w:pos="8306" w:leader="none"/>
      </w:tabs>
      <w:pBdr>
        <w:bottom w:val="single" w:color="000000" w:sz="4" w:space="1"/>
      </w:pBdr>
    </w:pPr>
    <w:r>
      <w:rPr>
        <w:rFonts w:hint="eastAsia" w:eastAsia="宋体"/>
      </w:rPr>
      <mc:AlternateContent>
        <mc:Choice Requires="wpg">
          <w:drawing>
            <wp:inline xmlns:wp="http://schemas.openxmlformats.org/drawingml/2006/wordprocessingDrawing" distT="0" distB="0" distL="0" distR="0">
              <wp:extent cx="207651" cy="20320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rPr>
      <w:t xml:space="preserve">常州市阳峻项目管理有限公司</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tabs>
        <w:tab w:val="center" w:pos="4153" w:leader="none"/>
        <w:tab w:val="right" w:pos="8306" w:leader="none"/>
      </w:tabs>
    </w:pPr>
    <w:r/>
    <w:r/>
  </w:p>
  <w:p>
    <w:pPr>
      <w:pStyle w:val="119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pStyle w:val="11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12"/>
      <w:isLgl w:val="false"/>
      <w:suff w:val="tab"/>
      <w:lvlText w:val="%1."/>
      <w:lvlJc w:val="left"/>
      <w:pPr>
        <w:pStyle w:val="1197"/>
        <w:ind w:left="420" w:hanging="420"/>
      </w:pPr>
    </w:lvl>
    <w:lvl w:ilvl="1">
      <w:start w:val="1"/>
      <w:numFmt w:val="decimal"/>
      <w:isLgl w:val="false"/>
      <w:suff w:val="tab"/>
      <w:lvlText w:val="（%2）"/>
      <w:lvlJc w:val="left"/>
      <w:pPr>
        <w:pStyle w:val="1197"/>
        <w:ind w:left="1140" w:hanging="720"/>
        <w:tabs>
          <w:tab w:val="num" w:pos="1140" w:leader="none"/>
        </w:tabs>
      </w:pPr>
      <w:rPr>
        <w:rFonts w:hint="eastAsia"/>
      </w:rPr>
    </w:lvl>
    <w:lvl w:ilvl="2">
      <w:start w:val="1"/>
      <w:numFmt w:val="lowerRoman"/>
      <w:isLgl w:val="false"/>
      <w:suff w:val="tab"/>
      <w:lvlText w:val="%3."/>
      <w:lvlJc w:val="right"/>
      <w:pPr>
        <w:pStyle w:val="1197"/>
        <w:ind w:left="1260" w:hanging="420"/>
      </w:pPr>
    </w:lvl>
    <w:lvl w:ilvl="3">
      <w:start w:val="1"/>
      <w:numFmt w:val="decimal"/>
      <w:isLgl w:val="false"/>
      <w:suff w:val="tab"/>
      <w:lvlText w:val="%4."/>
      <w:lvlJc w:val="left"/>
      <w:pPr>
        <w:pStyle w:val="1197"/>
        <w:ind w:left="1680" w:hanging="420"/>
      </w:pPr>
    </w:lvl>
    <w:lvl w:ilvl="4">
      <w:start w:val="1"/>
      <w:numFmt w:val="lowerLetter"/>
      <w:isLgl w:val="false"/>
      <w:suff w:val="tab"/>
      <w:lvlText w:val="%5)"/>
      <w:lvlJc w:val="left"/>
      <w:pPr>
        <w:pStyle w:val="1197"/>
        <w:ind w:left="2100" w:hanging="420"/>
      </w:pPr>
    </w:lvl>
    <w:lvl w:ilvl="5">
      <w:start w:val="1"/>
      <w:numFmt w:val="lowerRoman"/>
      <w:isLgl w:val="false"/>
      <w:suff w:val="tab"/>
      <w:lvlText w:val="%6."/>
      <w:lvlJc w:val="right"/>
      <w:pPr>
        <w:pStyle w:val="1197"/>
        <w:ind w:left="2520" w:hanging="420"/>
      </w:pPr>
    </w:lvl>
    <w:lvl w:ilvl="6">
      <w:start w:val="1"/>
      <w:numFmt w:val="decimal"/>
      <w:isLgl w:val="false"/>
      <w:suff w:val="tab"/>
      <w:lvlText w:val="%7."/>
      <w:lvlJc w:val="left"/>
      <w:pPr>
        <w:pStyle w:val="1197"/>
        <w:ind w:left="2940" w:hanging="420"/>
      </w:pPr>
    </w:lvl>
    <w:lvl w:ilvl="7">
      <w:start w:val="1"/>
      <w:numFmt w:val="lowerLetter"/>
      <w:isLgl w:val="false"/>
      <w:suff w:val="tab"/>
      <w:lvlText w:val="%8)"/>
      <w:lvlJc w:val="left"/>
      <w:pPr>
        <w:pStyle w:val="1197"/>
        <w:ind w:left="3360" w:hanging="420"/>
      </w:pPr>
    </w:lvl>
    <w:lvl w:ilvl="8">
      <w:start w:val="1"/>
      <w:numFmt w:val="lowerRoman"/>
      <w:isLgl w:val="false"/>
      <w:suff w:val="tab"/>
      <w:lvlText w:val="%9."/>
      <w:lvlJc w:val="right"/>
      <w:pPr>
        <w:pStyle w:val="1197"/>
        <w:ind w:left="3780" w:hanging="420"/>
      </w:pPr>
    </w:lvl>
  </w:abstractNum>
  <w:abstractNum w:abstractNumId="3">
    <w:multiLevelType w:val="hybridMultilevel"/>
    <w:lvl w:ilvl="0">
      <w:start w:val="1"/>
      <w:numFmt w:val="lowerLetter"/>
      <w:pStyle w:val="1386"/>
      <w:isLgl w:val="false"/>
      <w:suff w:val="tab"/>
      <w:lvlText w:val="%1)"/>
      <w:lvlJc w:val="left"/>
      <w:pPr>
        <w:pStyle w:val="1197"/>
        <w:ind w:left="902" w:hanging="420"/>
      </w:pPr>
      <w:rPr>
        <w:color w:val="000000"/>
      </w:rPr>
    </w:lvl>
    <w:lvl w:ilvl="1">
      <w:start w:val="1"/>
      <w:numFmt w:val="lowerLetter"/>
      <w:isLgl w:val="false"/>
      <w:suff w:val="tab"/>
      <w:lvlText w:val="%2)"/>
      <w:lvlJc w:val="left"/>
      <w:pPr>
        <w:pStyle w:val="1197"/>
        <w:ind w:left="1322" w:hanging="420"/>
      </w:pPr>
    </w:lvl>
    <w:lvl w:ilvl="2">
      <w:start w:val="1"/>
      <w:numFmt w:val="lowerRoman"/>
      <w:isLgl w:val="false"/>
      <w:suff w:val="tab"/>
      <w:lvlText w:val="%3."/>
      <w:lvlJc w:val="right"/>
      <w:pPr>
        <w:pStyle w:val="1197"/>
        <w:ind w:left="1742" w:hanging="420"/>
      </w:pPr>
    </w:lvl>
    <w:lvl w:ilvl="3">
      <w:start w:val="1"/>
      <w:numFmt w:val="decimal"/>
      <w:isLgl w:val="false"/>
      <w:suff w:val="tab"/>
      <w:lvlText w:val="%4."/>
      <w:lvlJc w:val="left"/>
      <w:pPr>
        <w:pStyle w:val="1197"/>
        <w:ind w:left="2162" w:hanging="420"/>
      </w:pPr>
    </w:lvl>
    <w:lvl w:ilvl="4">
      <w:start w:val="1"/>
      <w:numFmt w:val="lowerLetter"/>
      <w:isLgl w:val="false"/>
      <w:suff w:val="tab"/>
      <w:lvlText w:val="%5)"/>
      <w:lvlJc w:val="left"/>
      <w:pPr>
        <w:pStyle w:val="1197"/>
        <w:ind w:left="2582" w:hanging="420"/>
      </w:pPr>
    </w:lvl>
    <w:lvl w:ilvl="5">
      <w:start w:val="1"/>
      <w:numFmt w:val="lowerRoman"/>
      <w:isLgl w:val="false"/>
      <w:suff w:val="tab"/>
      <w:lvlText w:val="%6."/>
      <w:lvlJc w:val="right"/>
      <w:pPr>
        <w:pStyle w:val="1197"/>
        <w:ind w:left="3002" w:hanging="420"/>
      </w:pPr>
    </w:lvl>
    <w:lvl w:ilvl="6">
      <w:start w:val="1"/>
      <w:numFmt w:val="decimal"/>
      <w:isLgl w:val="false"/>
      <w:suff w:val="tab"/>
      <w:lvlText w:val="%7."/>
      <w:lvlJc w:val="left"/>
      <w:pPr>
        <w:pStyle w:val="1197"/>
        <w:ind w:left="3422" w:hanging="420"/>
      </w:pPr>
    </w:lvl>
    <w:lvl w:ilvl="7">
      <w:start w:val="1"/>
      <w:numFmt w:val="lowerLetter"/>
      <w:isLgl w:val="false"/>
      <w:suff w:val="tab"/>
      <w:lvlText w:val="%8)"/>
      <w:lvlJc w:val="left"/>
      <w:pPr>
        <w:pStyle w:val="1197"/>
        <w:ind w:left="3842" w:hanging="420"/>
      </w:pPr>
    </w:lvl>
    <w:lvl w:ilvl="8">
      <w:start w:val="1"/>
      <w:numFmt w:val="lowerRoman"/>
      <w:isLgl w:val="false"/>
      <w:suff w:val="tab"/>
      <w:lvlText w:val="%9."/>
      <w:lvlJc w:val="right"/>
      <w:pPr>
        <w:pStyle w:val="1197"/>
        <w:ind w:left="4262" w:hanging="420"/>
      </w:pPr>
    </w:lvl>
  </w:abstractNum>
  <w:abstractNum w:abstractNumId="4">
    <w:multiLevelType w:val="hybridMultilevel"/>
    <w:lvl w:ilvl="0">
      <w:start w:val="1"/>
      <w:numFmt w:val="decimal"/>
      <w:pStyle w:val="1357"/>
      <w:isLgl w:val="false"/>
      <w:suff w:val="tab"/>
      <w:lvlText w:val="%1."/>
      <w:lvlJc w:val="left"/>
      <w:pPr>
        <w:pStyle w:val="119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06"/>
      <w:isLgl w:val="false"/>
      <w:suff w:val="nothing"/>
      <w:lvlText w:val="%1　"/>
      <w:lvlJc w:val="left"/>
      <w:pPr>
        <w:pStyle w:val="119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9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97"/>
        <w:ind w:left="-25" w:firstLine="0"/>
      </w:pPr>
      <w:rPr>
        <w:rFonts w:ascii="Times New Roman" w:hAnsi="Times New Roman" w:eastAsia="黑体"/>
        <w:b/>
        <w:i w:val="0"/>
        <w:sz w:val="28"/>
      </w:rPr>
    </w:lvl>
    <w:lvl w:ilvl="3">
      <w:start w:val="1"/>
      <w:numFmt w:val="decimal"/>
      <w:pStyle w:val="1342"/>
      <w:isLgl w:val="false"/>
      <w:suff w:val="nothing"/>
      <w:lvlText w:val="%1.%2.%3.%4　"/>
      <w:lvlJc w:val="left"/>
      <w:pPr>
        <w:pStyle w:val="119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9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97"/>
        <w:ind w:left="-25" w:firstLine="0"/>
      </w:pPr>
      <w:rPr>
        <w:rFonts w:ascii="Times New Roman" w:hAnsi="Times New Roman" w:eastAsia="宋体"/>
        <w:b/>
        <w:i w:val="0"/>
        <w:sz w:val="28"/>
      </w:rPr>
    </w:lvl>
    <w:lvl w:ilvl="6">
      <w:start w:val="1"/>
      <w:numFmt w:val="lowerLetter"/>
      <w:pStyle w:val="1363"/>
      <w:isLgl w:val="false"/>
      <w:suff w:val="tab"/>
      <w:lvlText w:val="%7) "/>
      <w:lvlJc w:val="left"/>
      <w:pPr>
        <w:pStyle w:val="1197"/>
        <w:ind w:left="-125" w:firstLine="400"/>
        <w:tabs>
          <w:tab w:val="num" w:pos="635" w:leader="none"/>
        </w:tabs>
      </w:pPr>
      <w:rPr>
        <w:rFonts w:ascii="Times New Roman" w:hAnsi="Times New Roman" w:eastAsia="宋体"/>
        <w:b/>
        <w:i w:val="0"/>
        <w:color w:val="000000"/>
        <w:sz w:val="28"/>
        <w:u w:val="none"/>
      </w:rPr>
    </w:lvl>
    <w:lvl w:ilvl="7">
      <w:start w:val="1"/>
      <w:numFmt w:val="decimal"/>
      <w:pStyle w:val="1326"/>
      <w:isLgl w:val="false"/>
      <w:suff w:val="tab"/>
      <w:lvlText w:val="%8) "/>
      <w:lvlJc w:val="left"/>
      <w:pPr>
        <w:pStyle w:val="119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97"/>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97"/>
        <w:ind w:left="768" w:hanging="360"/>
        <w:tabs>
          <w:tab w:val="num" w:pos="768" w:leader="none"/>
        </w:tabs>
      </w:pPr>
      <w:rPr>
        <w:rFonts w:hint="eastAsia"/>
      </w:rPr>
    </w:lvl>
    <w:lvl w:ilvl="1">
      <w:start w:val="1"/>
      <w:numFmt w:val="decimal"/>
      <w:pStyle w:val="1344"/>
      <w:isLgl w:val="false"/>
      <w:suff w:val="tab"/>
      <w:lvlText w:val="%2、"/>
      <w:lvlJc w:val="left"/>
      <w:pPr>
        <w:pStyle w:val="1197"/>
        <w:ind w:left="1188" w:hanging="360"/>
        <w:tabs>
          <w:tab w:val="num" w:pos="1188" w:leader="none"/>
        </w:tabs>
      </w:pPr>
      <w:rPr>
        <w:rFonts w:hint="eastAsia"/>
      </w:rPr>
    </w:lvl>
    <w:lvl w:ilvl="2">
      <w:start w:val="1"/>
      <w:numFmt w:val="decimal"/>
      <w:isLgl w:val="false"/>
      <w:suff w:val="tab"/>
      <w:lvlText w:val="（%3）"/>
      <w:lvlJc w:val="left"/>
      <w:pPr>
        <w:pStyle w:val="1197"/>
        <w:ind w:left="1968" w:hanging="720"/>
        <w:tabs>
          <w:tab w:val="num" w:pos="1968" w:leader="none"/>
        </w:tabs>
      </w:pPr>
      <w:rPr>
        <w:rFonts w:hint="eastAsia"/>
        <w:u w:val="none"/>
      </w:rPr>
    </w:lvl>
    <w:lvl w:ilvl="3">
      <w:start w:val="1"/>
      <w:numFmt w:val="decimal"/>
      <w:isLgl w:val="false"/>
      <w:suff w:val="tab"/>
      <w:lvlText w:val="%4."/>
      <w:lvlJc w:val="left"/>
      <w:pPr>
        <w:pStyle w:val="1197"/>
        <w:ind w:left="2088" w:hanging="420"/>
        <w:tabs>
          <w:tab w:val="num" w:pos="2088" w:leader="none"/>
        </w:tabs>
      </w:pPr>
    </w:lvl>
    <w:lvl w:ilvl="4">
      <w:start w:val="1"/>
      <w:numFmt w:val="lowerLetter"/>
      <w:isLgl w:val="false"/>
      <w:suff w:val="tab"/>
      <w:lvlText w:val="%5)"/>
      <w:lvlJc w:val="left"/>
      <w:pPr>
        <w:pStyle w:val="1197"/>
        <w:ind w:left="2508" w:hanging="420"/>
        <w:tabs>
          <w:tab w:val="num" w:pos="2508" w:leader="none"/>
        </w:tabs>
      </w:pPr>
    </w:lvl>
    <w:lvl w:ilvl="5">
      <w:start w:val="1"/>
      <w:numFmt w:val="lowerRoman"/>
      <w:isLgl w:val="false"/>
      <w:suff w:val="tab"/>
      <w:lvlText w:val="%6."/>
      <w:lvlJc w:val="right"/>
      <w:pPr>
        <w:pStyle w:val="1197"/>
        <w:ind w:left="2928" w:hanging="420"/>
        <w:tabs>
          <w:tab w:val="num" w:pos="2928" w:leader="none"/>
        </w:tabs>
      </w:pPr>
    </w:lvl>
    <w:lvl w:ilvl="6">
      <w:start w:val="1"/>
      <w:numFmt w:val="decimal"/>
      <w:isLgl w:val="false"/>
      <w:suff w:val="tab"/>
      <w:lvlText w:val="%7."/>
      <w:lvlJc w:val="left"/>
      <w:pPr>
        <w:pStyle w:val="1197"/>
        <w:ind w:left="3348" w:hanging="420"/>
        <w:tabs>
          <w:tab w:val="num" w:pos="3348" w:leader="none"/>
        </w:tabs>
      </w:pPr>
    </w:lvl>
    <w:lvl w:ilvl="7">
      <w:start w:val="1"/>
      <w:numFmt w:val="lowerLetter"/>
      <w:isLgl w:val="false"/>
      <w:suff w:val="tab"/>
      <w:lvlText w:val="%8)"/>
      <w:lvlJc w:val="left"/>
      <w:pPr>
        <w:pStyle w:val="1197"/>
        <w:ind w:left="3768" w:hanging="420"/>
        <w:tabs>
          <w:tab w:val="num" w:pos="3768" w:leader="none"/>
        </w:tabs>
      </w:pPr>
    </w:lvl>
    <w:lvl w:ilvl="8">
      <w:start w:val="1"/>
      <w:numFmt w:val="lowerRoman"/>
      <w:isLgl w:val="false"/>
      <w:suff w:val="tab"/>
      <w:lvlText w:val="%9."/>
      <w:lvlJc w:val="right"/>
      <w:pPr>
        <w:pStyle w:val="1197"/>
        <w:ind w:left="4188" w:hanging="420"/>
        <w:tabs>
          <w:tab w:val="num" w:pos="4188" w:leader="none"/>
        </w:tabs>
      </w:pPr>
    </w:lvl>
  </w:abstractNum>
  <w:abstractNum w:abstractNumId="7">
    <w:multiLevelType w:val="hybridMultilevel"/>
    <w:lvl w:ilvl="0">
      <w:start w:val="1"/>
      <w:numFmt w:val="decimal"/>
      <w:pStyle w:val="1311"/>
      <w:isLgl w:val="false"/>
      <w:suff w:val="tab"/>
      <w:lvlText w:val="%1)"/>
      <w:lvlJc w:val="left"/>
      <w:pPr>
        <w:pStyle w:val="1197"/>
        <w:ind w:left="420" w:hanging="420"/>
      </w:pPr>
    </w:lvl>
    <w:lvl w:ilvl="1">
      <w:start w:val="1"/>
      <w:numFmt w:val="lowerLetter"/>
      <w:isLgl w:val="false"/>
      <w:suff w:val="tab"/>
      <w:lvlText w:val="%2)"/>
      <w:lvlJc w:val="left"/>
      <w:pPr>
        <w:pStyle w:val="1197"/>
        <w:ind w:left="840" w:hanging="420"/>
      </w:pPr>
    </w:lvl>
    <w:lvl w:ilvl="2">
      <w:start w:val="1"/>
      <w:numFmt w:val="lowerRoman"/>
      <w:isLgl w:val="false"/>
      <w:suff w:val="tab"/>
      <w:lvlText w:val="%3."/>
      <w:lvlJc w:val="right"/>
      <w:pPr>
        <w:pStyle w:val="1197"/>
        <w:ind w:left="1260" w:hanging="420"/>
      </w:pPr>
    </w:lvl>
    <w:lvl w:ilvl="3">
      <w:start w:val="1"/>
      <w:numFmt w:val="decimal"/>
      <w:isLgl w:val="false"/>
      <w:suff w:val="tab"/>
      <w:lvlText w:val="%4."/>
      <w:lvlJc w:val="left"/>
      <w:pPr>
        <w:pStyle w:val="1197"/>
        <w:ind w:left="1680" w:hanging="420"/>
      </w:pPr>
    </w:lvl>
    <w:lvl w:ilvl="4">
      <w:start w:val="1"/>
      <w:numFmt w:val="lowerLetter"/>
      <w:isLgl w:val="false"/>
      <w:suff w:val="tab"/>
      <w:lvlText w:val="%5)"/>
      <w:lvlJc w:val="left"/>
      <w:pPr>
        <w:pStyle w:val="1197"/>
        <w:ind w:left="2100" w:hanging="420"/>
      </w:pPr>
    </w:lvl>
    <w:lvl w:ilvl="5">
      <w:start w:val="1"/>
      <w:numFmt w:val="lowerRoman"/>
      <w:isLgl w:val="false"/>
      <w:suff w:val="tab"/>
      <w:lvlText w:val="%6."/>
      <w:lvlJc w:val="right"/>
      <w:pPr>
        <w:pStyle w:val="1197"/>
        <w:ind w:left="2520" w:hanging="420"/>
      </w:pPr>
    </w:lvl>
    <w:lvl w:ilvl="6">
      <w:start w:val="1"/>
      <w:numFmt w:val="decimal"/>
      <w:isLgl w:val="false"/>
      <w:suff w:val="tab"/>
      <w:lvlText w:val="%7."/>
      <w:lvlJc w:val="left"/>
      <w:pPr>
        <w:pStyle w:val="1197"/>
        <w:ind w:left="2940" w:hanging="420"/>
      </w:pPr>
    </w:lvl>
    <w:lvl w:ilvl="7">
      <w:start w:val="1"/>
      <w:numFmt w:val="lowerLetter"/>
      <w:isLgl w:val="false"/>
      <w:suff w:val="tab"/>
      <w:lvlText w:val="%8)"/>
      <w:lvlJc w:val="left"/>
      <w:pPr>
        <w:pStyle w:val="1197"/>
        <w:ind w:left="3360" w:hanging="420"/>
      </w:pPr>
    </w:lvl>
    <w:lvl w:ilvl="8">
      <w:start w:val="1"/>
      <w:numFmt w:val="lowerRoman"/>
      <w:isLgl w:val="false"/>
      <w:suff w:val="tab"/>
      <w:lvlText w:val="%9."/>
      <w:lvlJc w:val="right"/>
      <w:pPr>
        <w:pStyle w:val="1197"/>
        <w:ind w:left="3780" w:hanging="420"/>
      </w:pPr>
    </w:lvl>
  </w:abstractNum>
  <w:abstractNum w:abstractNumId="8">
    <w:multiLevelType w:val="hybridMultilevel"/>
    <w:lvl w:ilvl="0">
      <w:start w:val="1"/>
      <w:numFmt w:val="decimal"/>
      <w:pStyle w:val="1411"/>
      <w:isLgl w:val="false"/>
      <w:suff w:val="tab"/>
      <w:lvlText w:val="%1"/>
      <w:lvlJc w:val="left"/>
      <w:pPr>
        <w:pStyle w:val="1197"/>
        <w:ind w:left="680" w:hanging="680"/>
      </w:pPr>
      <w:rPr>
        <w:rFonts w:hint="eastAsia" w:ascii="宋体" w:hAnsi="宋体" w:eastAsia="宋体"/>
      </w:rPr>
    </w:lvl>
    <w:lvl w:ilvl="1">
      <w:start w:val="1"/>
      <w:numFmt w:val="decimal"/>
      <w:pStyle w:val="1412"/>
      <w:isLgl w:val="false"/>
      <w:suff w:val="tab"/>
      <w:lvlText w:val="%1.%2"/>
      <w:lvlJc w:val="left"/>
      <w:pPr>
        <w:pStyle w:val="1197"/>
        <w:ind w:left="851" w:hanging="851"/>
      </w:pPr>
      <w:rPr>
        <w:rFonts w:hint="eastAsia" w:ascii="宋体" w:hAnsi="宋体" w:eastAsia="宋体"/>
        <w:color w:val="000000"/>
      </w:rPr>
    </w:lvl>
    <w:lvl w:ilvl="2">
      <w:start w:val="1"/>
      <w:numFmt w:val="decimal"/>
      <w:pStyle w:val="1413"/>
      <w:isLgl w:val="false"/>
      <w:suff w:val="tab"/>
      <w:lvlText w:val="%1.%2.%3"/>
      <w:lvlJc w:val="left"/>
      <w:pPr>
        <w:pStyle w:val="1197"/>
        <w:ind w:left="851" w:hanging="851"/>
      </w:pPr>
      <w:rPr>
        <w:rFonts w:hint="eastAsia"/>
      </w:rPr>
    </w:lvl>
    <w:lvl w:ilvl="3">
      <w:start w:val="1"/>
      <w:numFmt w:val="decimal"/>
      <w:isLgl w:val="false"/>
      <w:suff w:val="tab"/>
      <w:lvlText w:val="%1.%2.%3.%4"/>
      <w:lvlJc w:val="left"/>
      <w:pPr>
        <w:pStyle w:val="1197"/>
        <w:ind w:left="680" w:hanging="680"/>
      </w:pPr>
      <w:rPr>
        <w:rFonts w:hint="eastAsia"/>
      </w:rPr>
    </w:lvl>
    <w:lvl w:ilvl="4">
      <w:start w:val="1"/>
      <w:numFmt w:val="decimal"/>
      <w:isLgl w:val="false"/>
      <w:suff w:val="tab"/>
      <w:lvlText w:val="%1.%2.%3.%4.%5"/>
      <w:lvlJc w:val="left"/>
      <w:pPr>
        <w:pStyle w:val="1197"/>
        <w:ind w:left="680" w:hanging="680"/>
      </w:pPr>
      <w:rPr>
        <w:rFonts w:hint="eastAsia"/>
      </w:rPr>
    </w:lvl>
    <w:lvl w:ilvl="5">
      <w:start w:val="1"/>
      <w:numFmt w:val="decimal"/>
      <w:isLgl w:val="false"/>
      <w:suff w:val="tab"/>
      <w:lvlText w:val="%1.%2.%3.%4.%5.%6"/>
      <w:lvlJc w:val="left"/>
      <w:pPr>
        <w:pStyle w:val="1197"/>
        <w:ind w:left="680" w:hanging="680"/>
      </w:pPr>
      <w:rPr>
        <w:rFonts w:hint="eastAsia"/>
      </w:rPr>
    </w:lvl>
    <w:lvl w:ilvl="6">
      <w:start w:val="1"/>
      <w:numFmt w:val="decimal"/>
      <w:isLgl w:val="false"/>
      <w:suff w:val="tab"/>
      <w:lvlText w:val="%1.%2.%3.%4.%5.%6.%7"/>
      <w:lvlJc w:val="left"/>
      <w:pPr>
        <w:pStyle w:val="1197"/>
        <w:ind w:left="680" w:hanging="680"/>
      </w:pPr>
      <w:rPr>
        <w:rFonts w:hint="eastAsia"/>
      </w:rPr>
    </w:lvl>
    <w:lvl w:ilvl="7">
      <w:start w:val="1"/>
      <w:numFmt w:val="decimal"/>
      <w:isLgl w:val="false"/>
      <w:suff w:val="tab"/>
      <w:lvlText w:val="%1.%2.%3.%4.%5.%6.%7.%8"/>
      <w:lvlJc w:val="left"/>
      <w:pPr>
        <w:pStyle w:val="1197"/>
        <w:ind w:left="680" w:hanging="680"/>
      </w:pPr>
      <w:rPr>
        <w:rFonts w:hint="eastAsia"/>
      </w:rPr>
    </w:lvl>
    <w:lvl w:ilvl="8">
      <w:start w:val="1"/>
      <w:numFmt w:val="decimal"/>
      <w:isLgl w:val="false"/>
      <w:suff w:val="tab"/>
      <w:lvlText w:val="%1.%2.%3.%4.%5.%6.%7.%8.%9"/>
      <w:lvlJc w:val="left"/>
      <w:pPr>
        <w:pStyle w:val="1197"/>
        <w:ind w:left="680" w:hanging="680"/>
      </w:pPr>
      <w:rPr>
        <w:rFonts w:hint="eastAsia"/>
      </w:rPr>
    </w:lvl>
  </w:abstractNum>
  <w:abstractNum w:abstractNumId="9">
    <w:multiLevelType w:val="hybridMultilevel"/>
    <w:lvl w:ilvl="0">
      <w:start w:val="1"/>
      <w:numFmt w:val="decimal"/>
      <w:isLgl w:val="false"/>
      <w:suff w:val="tab"/>
      <w:lvlText w:val="%1"/>
      <w:lvlJc w:val="left"/>
      <w:pPr>
        <w:pStyle w:val="1197"/>
        <w:ind w:left="900" w:hanging="900"/>
        <w:tabs>
          <w:tab w:val="num" w:pos="900" w:leader="none"/>
        </w:tabs>
      </w:pPr>
      <w:rPr>
        <w:rFonts w:hint="eastAsia"/>
      </w:rPr>
    </w:lvl>
    <w:lvl w:ilvl="1">
      <w:start w:val="1"/>
      <w:numFmt w:val="decimal"/>
      <w:isLgl w:val="false"/>
      <w:suff w:val="tab"/>
      <w:lvlText w:val="%1.%2"/>
      <w:lvlJc w:val="left"/>
      <w:pPr>
        <w:pStyle w:val="11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97"/>
        <w:ind w:left="1980" w:hanging="900"/>
        <w:tabs>
          <w:tab w:val="num" w:pos="1980" w:leader="none"/>
        </w:tabs>
      </w:pPr>
      <w:rPr>
        <w:rFonts w:hint="eastAsia"/>
      </w:rPr>
    </w:lvl>
    <w:lvl w:ilvl="3">
      <w:start w:val="1"/>
      <w:numFmt w:val="decimal"/>
      <w:isLgl w:val="false"/>
      <w:suff w:val="tab"/>
      <w:lvlText w:val="%1.%2.%3.%4"/>
      <w:lvlJc w:val="left"/>
      <w:pPr>
        <w:pStyle w:val="1197"/>
        <w:ind w:left="900" w:hanging="900"/>
        <w:tabs>
          <w:tab w:val="num" w:pos="900" w:leader="none"/>
        </w:tabs>
      </w:pPr>
      <w:rPr>
        <w:rFonts w:hint="eastAsia"/>
      </w:rPr>
    </w:lvl>
    <w:lvl w:ilvl="4">
      <w:start w:val="1"/>
      <w:numFmt w:val="decimal"/>
      <w:isLgl w:val="false"/>
      <w:suff w:val="tab"/>
      <w:lvlText w:val="%1.%2.%3.%4.%5"/>
      <w:lvlJc w:val="left"/>
      <w:pPr>
        <w:pStyle w:val="1197"/>
        <w:ind w:left="900" w:hanging="900"/>
        <w:tabs>
          <w:tab w:val="num" w:pos="900" w:leader="none"/>
        </w:tabs>
      </w:pPr>
      <w:rPr>
        <w:rFonts w:hint="eastAsia"/>
      </w:rPr>
    </w:lvl>
    <w:lvl w:ilvl="5">
      <w:start w:val="1"/>
      <w:numFmt w:val="decimal"/>
      <w:isLgl w:val="false"/>
      <w:suff w:val="tab"/>
      <w:lvlText w:val="%1.%2.%3.%4.%5.%6"/>
      <w:lvlJc w:val="left"/>
      <w:pPr>
        <w:pStyle w:val="1197"/>
        <w:ind w:left="900" w:hanging="900"/>
        <w:tabs>
          <w:tab w:val="num" w:pos="900" w:leader="none"/>
        </w:tabs>
      </w:pPr>
      <w:rPr>
        <w:rFonts w:hint="eastAsia"/>
      </w:rPr>
    </w:lvl>
    <w:lvl w:ilvl="6">
      <w:start w:val="1"/>
      <w:numFmt w:val="decimal"/>
      <w:isLgl w:val="false"/>
      <w:suff w:val="tab"/>
      <w:lvlText w:val="%1.%2.%3.%4.%5.%6.%7"/>
      <w:lvlJc w:val="left"/>
      <w:pPr>
        <w:pStyle w:val="1197"/>
        <w:ind w:left="900" w:hanging="900"/>
        <w:tabs>
          <w:tab w:val="num" w:pos="900" w:leader="none"/>
        </w:tabs>
      </w:pPr>
      <w:rPr>
        <w:rFonts w:hint="eastAsia"/>
      </w:rPr>
    </w:lvl>
    <w:lvl w:ilvl="7">
      <w:start w:val="1"/>
      <w:numFmt w:val="decimal"/>
      <w:isLgl w:val="false"/>
      <w:suff w:val="tab"/>
      <w:lvlText w:val="%1.%2.%3.%4.%5.%6.%7.%8"/>
      <w:lvlJc w:val="left"/>
      <w:pPr>
        <w:pStyle w:val="1197"/>
        <w:ind w:left="900" w:hanging="900"/>
        <w:tabs>
          <w:tab w:val="num" w:pos="900" w:leader="none"/>
        </w:tabs>
      </w:pPr>
      <w:rPr>
        <w:rFonts w:hint="eastAsia"/>
      </w:rPr>
    </w:lvl>
    <w:lvl w:ilvl="8">
      <w:start w:val="1"/>
      <w:numFmt w:val="decimal"/>
      <w:isLgl w:val="false"/>
      <w:suff w:val="tab"/>
      <w:lvlText w:val="%1.%2.%3.%4.%5.%6.%7.%8.%9"/>
      <w:lvlJc w:val="left"/>
      <w:pPr>
        <w:pStyle w:val="1197"/>
        <w:ind w:left="900" w:hanging="900"/>
        <w:tabs>
          <w:tab w:val="num" w:pos="900" w:leader="none"/>
        </w:tabs>
      </w:pPr>
      <w:rPr>
        <w:rFonts w:hint="eastAsia"/>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9">
    <w:name w:val="Heading 1"/>
    <w:basedOn w:val="1197"/>
    <w:next w:val="1197"/>
    <w:link w:val="1020"/>
    <w:uiPriority w:val="9"/>
    <w:qFormat/>
    <w:pPr>
      <w:keepLines/>
      <w:keepNext/>
      <w:spacing w:before="480" w:after="200"/>
      <w:outlineLvl w:val="0"/>
    </w:pPr>
    <w:rPr>
      <w:rFonts w:ascii="Arial" w:hAnsi="Arial" w:eastAsia="Arial" w:cs="Arial"/>
      <w:sz w:val="40"/>
      <w:szCs w:val="40"/>
    </w:rPr>
  </w:style>
  <w:style w:type="character" w:styleId="1020">
    <w:name w:val="Heading 1 Char"/>
    <w:link w:val="1019"/>
    <w:uiPriority w:val="9"/>
    <w:rPr>
      <w:rFonts w:ascii="Arial" w:hAnsi="Arial" w:eastAsia="Arial" w:cs="Arial"/>
      <w:sz w:val="40"/>
      <w:szCs w:val="40"/>
    </w:rPr>
  </w:style>
  <w:style w:type="paragraph" w:styleId="1021">
    <w:name w:val="Heading 2"/>
    <w:basedOn w:val="1197"/>
    <w:next w:val="1197"/>
    <w:link w:val="1022"/>
    <w:uiPriority w:val="9"/>
    <w:unhideWhenUsed/>
    <w:qFormat/>
    <w:pPr>
      <w:keepLines/>
      <w:keepNext/>
      <w:spacing w:before="360" w:after="200"/>
      <w:outlineLvl w:val="1"/>
    </w:pPr>
    <w:rPr>
      <w:rFonts w:ascii="Arial" w:hAnsi="Arial" w:eastAsia="Arial" w:cs="Arial"/>
      <w:sz w:val="34"/>
    </w:rPr>
  </w:style>
  <w:style w:type="character" w:styleId="1022">
    <w:name w:val="Heading 2 Char"/>
    <w:link w:val="1021"/>
    <w:uiPriority w:val="9"/>
    <w:rPr>
      <w:rFonts w:ascii="Arial" w:hAnsi="Arial" w:eastAsia="Arial" w:cs="Arial"/>
      <w:sz w:val="34"/>
    </w:rPr>
  </w:style>
  <w:style w:type="paragraph" w:styleId="1023">
    <w:name w:val="Heading 3"/>
    <w:basedOn w:val="1197"/>
    <w:next w:val="1197"/>
    <w:link w:val="1024"/>
    <w:uiPriority w:val="9"/>
    <w:unhideWhenUsed/>
    <w:qFormat/>
    <w:pPr>
      <w:keepLines/>
      <w:keepNext/>
      <w:spacing w:before="320" w:after="200"/>
      <w:outlineLvl w:val="2"/>
    </w:pPr>
    <w:rPr>
      <w:rFonts w:ascii="Arial" w:hAnsi="Arial" w:eastAsia="Arial" w:cs="Arial"/>
      <w:sz w:val="30"/>
      <w:szCs w:val="30"/>
    </w:rPr>
  </w:style>
  <w:style w:type="character" w:styleId="1024">
    <w:name w:val="Heading 3 Char"/>
    <w:link w:val="1023"/>
    <w:uiPriority w:val="9"/>
    <w:rPr>
      <w:rFonts w:ascii="Arial" w:hAnsi="Arial" w:eastAsia="Arial" w:cs="Arial"/>
      <w:sz w:val="30"/>
      <w:szCs w:val="30"/>
    </w:rPr>
  </w:style>
  <w:style w:type="paragraph" w:styleId="1025">
    <w:name w:val="Heading 4"/>
    <w:basedOn w:val="1197"/>
    <w:next w:val="1197"/>
    <w:link w:val="1026"/>
    <w:uiPriority w:val="9"/>
    <w:unhideWhenUsed/>
    <w:qFormat/>
    <w:pPr>
      <w:keepLines/>
      <w:keepNext/>
      <w:spacing w:before="320" w:after="200"/>
      <w:outlineLvl w:val="3"/>
    </w:pPr>
    <w:rPr>
      <w:rFonts w:ascii="Arial" w:hAnsi="Arial" w:eastAsia="Arial" w:cs="Arial"/>
      <w:b/>
      <w:bCs/>
      <w:sz w:val="26"/>
      <w:szCs w:val="26"/>
    </w:rPr>
  </w:style>
  <w:style w:type="character" w:styleId="1026">
    <w:name w:val="Heading 4 Char"/>
    <w:link w:val="1025"/>
    <w:uiPriority w:val="9"/>
    <w:rPr>
      <w:rFonts w:ascii="Arial" w:hAnsi="Arial" w:eastAsia="Arial" w:cs="Arial"/>
      <w:b/>
      <w:bCs/>
      <w:sz w:val="26"/>
      <w:szCs w:val="26"/>
    </w:rPr>
  </w:style>
  <w:style w:type="paragraph" w:styleId="1027">
    <w:name w:val="Heading 5"/>
    <w:basedOn w:val="1197"/>
    <w:next w:val="1197"/>
    <w:link w:val="1028"/>
    <w:uiPriority w:val="9"/>
    <w:unhideWhenUsed/>
    <w:qFormat/>
    <w:pPr>
      <w:keepLines/>
      <w:keepNext/>
      <w:spacing w:before="320" w:after="200"/>
      <w:outlineLvl w:val="4"/>
    </w:pPr>
    <w:rPr>
      <w:rFonts w:ascii="Arial" w:hAnsi="Arial" w:eastAsia="Arial" w:cs="Arial"/>
      <w:b/>
      <w:bCs/>
      <w:sz w:val="24"/>
      <w:szCs w:val="24"/>
    </w:rPr>
  </w:style>
  <w:style w:type="character" w:styleId="1028">
    <w:name w:val="Heading 5 Char"/>
    <w:link w:val="1027"/>
    <w:uiPriority w:val="9"/>
    <w:rPr>
      <w:rFonts w:ascii="Arial" w:hAnsi="Arial" w:eastAsia="Arial" w:cs="Arial"/>
      <w:b/>
      <w:bCs/>
      <w:sz w:val="24"/>
      <w:szCs w:val="24"/>
    </w:rPr>
  </w:style>
  <w:style w:type="paragraph" w:styleId="1029">
    <w:name w:val="Heading 6"/>
    <w:basedOn w:val="1197"/>
    <w:next w:val="1197"/>
    <w:link w:val="1030"/>
    <w:uiPriority w:val="9"/>
    <w:unhideWhenUsed/>
    <w:qFormat/>
    <w:pPr>
      <w:keepLines/>
      <w:keepNext/>
      <w:spacing w:before="320" w:after="200"/>
      <w:outlineLvl w:val="5"/>
    </w:pPr>
    <w:rPr>
      <w:rFonts w:ascii="Arial" w:hAnsi="Arial" w:eastAsia="Arial" w:cs="Arial"/>
      <w:b/>
      <w:bCs/>
      <w:sz w:val="22"/>
      <w:szCs w:val="22"/>
    </w:rPr>
  </w:style>
  <w:style w:type="character" w:styleId="1030">
    <w:name w:val="Heading 6 Char"/>
    <w:link w:val="1029"/>
    <w:uiPriority w:val="9"/>
    <w:rPr>
      <w:rFonts w:ascii="Arial" w:hAnsi="Arial" w:eastAsia="Arial" w:cs="Arial"/>
      <w:b/>
      <w:bCs/>
      <w:sz w:val="22"/>
      <w:szCs w:val="22"/>
    </w:rPr>
  </w:style>
  <w:style w:type="paragraph" w:styleId="1031">
    <w:name w:val="Heading 7"/>
    <w:basedOn w:val="1197"/>
    <w:next w:val="1197"/>
    <w:link w:val="1032"/>
    <w:uiPriority w:val="9"/>
    <w:unhideWhenUsed/>
    <w:qFormat/>
    <w:pPr>
      <w:keepLines/>
      <w:keepNext/>
      <w:spacing w:before="320" w:after="200"/>
      <w:outlineLvl w:val="6"/>
    </w:pPr>
    <w:rPr>
      <w:rFonts w:ascii="Arial" w:hAnsi="Arial" w:eastAsia="Arial" w:cs="Arial"/>
      <w:b/>
      <w:bCs/>
      <w:i/>
      <w:iCs/>
      <w:sz w:val="22"/>
      <w:szCs w:val="22"/>
    </w:rPr>
  </w:style>
  <w:style w:type="character" w:styleId="1032">
    <w:name w:val="Heading 7 Char"/>
    <w:link w:val="1031"/>
    <w:uiPriority w:val="9"/>
    <w:rPr>
      <w:rFonts w:ascii="Arial" w:hAnsi="Arial" w:eastAsia="Arial" w:cs="Arial"/>
      <w:b/>
      <w:bCs/>
      <w:i/>
      <w:iCs/>
      <w:sz w:val="22"/>
      <w:szCs w:val="22"/>
    </w:rPr>
  </w:style>
  <w:style w:type="paragraph" w:styleId="1033">
    <w:name w:val="Heading 8"/>
    <w:basedOn w:val="1197"/>
    <w:next w:val="1197"/>
    <w:link w:val="1034"/>
    <w:uiPriority w:val="9"/>
    <w:unhideWhenUsed/>
    <w:qFormat/>
    <w:pPr>
      <w:keepLines/>
      <w:keepNext/>
      <w:spacing w:before="320" w:after="200"/>
      <w:outlineLvl w:val="7"/>
    </w:pPr>
    <w:rPr>
      <w:rFonts w:ascii="Arial" w:hAnsi="Arial" w:eastAsia="Arial" w:cs="Arial"/>
      <w:i/>
      <w:iCs/>
      <w:sz w:val="22"/>
      <w:szCs w:val="22"/>
    </w:rPr>
  </w:style>
  <w:style w:type="character" w:styleId="1034">
    <w:name w:val="Heading 8 Char"/>
    <w:link w:val="1033"/>
    <w:uiPriority w:val="9"/>
    <w:rPr>
      <w:rFonts w:ascii="Arial" w:hAnsi="Arial" w:eastAsia="Arial" w:cs="Arial"/>
      <w:i/>
      <w:iCs/>
      <w:sz w:val="22"/>
      <w:szCs w:val="22"/>
    </w:rPr>
  </w:style>
  <w:style w:type="paragraph" w:styleId="1035">
    <w:name w:val="Heading 9"/>
    <w:basedOn w:val="1197"/>
    <w:next w:val="1197"/>
    <w:link w:val="1036"/>
    <w:uiPriority w:val="9"/>
    <w:unhideWhenUsed/>
    <w:qFormat/>
    <w:pPr>
      <w:keepLines/>
      <w:keepNext/>
      <w:spacing w:before="320" w:after="200"/>
      <w:outlineLvl w:val="8"/>
    </w:pPr>
    <w:rPr>
      <w:rFonts w:ascii="Arial" w:hAnsi="Arial" w:eastAsia="Arial" w:cs="Arial"/>
      <w:i/>
      <w:iCs/>
      <w:sz w:val="21"/>
      <w:szCs w:val="21"/>
    </w:rPr>
  </w:style>
  <w:style w:type="character" w:styleId="1036">
    <w:name w:val="Heading 9 Char"/>
    <w:link w:val="1035"/>
    <w:uiPriority w:val="9"/>
    <w:rPr>
      <w:rFonts w:ascii="Arial" w:hAnsi="Arial" w:eastAsia="Arial" w:cs="Arial"/>
      <w:i/>
      <w:iCs/>
      <w:sz w:val="21"/>
      <w:szCs w:val="21"/>
    </w:rPr>
  </w:style>
  <w:style w:type="paragraph" w:styleId="1037">
    <w:name w:val="List Paragraph"/>
    <w:basedOn w:val="1197"/>
    <w:uiPriority w:val="34"/>
    <w:qFormat/>
    <w:pPr>
      <w:contextualSpacing/>
      <w:ind w:left="720"/>
    </w:pPr>
  </w:style>
  <w:style w:type="paragraph" w:styleId="1038">
    <w:name w:val="No Spacing"/>
    <w:uiPriority w:val="1"/>
    <w:qFormat/>
    <w:pPr>
      <w:spacing w:before="0" w:after="0" w:line="240" w:lineRule="auto"/>
    </w:pPr>
  </w:style>
  <w:style w:type="paragraph" w:styleId="1039">
    <w:name w:val="Title"/>
    <w:basedOn w:val="1197"/>
    <w:next w:val="1197"/>
    <w:link w:val="1040"/>
    <w:uiPriority w:val="10"/>
    <w:qFormat/>
    <w:pPr>
      <w:contextualSpacing/>
      <w:spacing w:before="300" w:after="200"/>
    </w:pPr>
    <w:rPr>
      <w:sz w:val="48"/>
      <w:szCs w:val="48"/>
    </w:rPr>
  </w:style>
  <w:style w:type="character" w:styleId="1040">
    <w:name w:val="Title Char"/>
    <w:link w:val="1039"/>
    <w:uiPriority w:val="10"/>
    <w:rPr>
      <w:sz w:val="48"/>
      <w:szCs w:val="48"/>
    </w:rPr>
  </w:style>
  <w:style w:type="paragraph" w:styleId="1041">
    <w:name w:val="Subtitle"/>
    <w:basedOn w:val="1197"/>
    <w:next w:val="1197"/>
    <w:link w:val="1042"/>
    <w:uiPriority w:val="11"/>
    <w:qFormat/>
    <w:pPr>
      <w:spacing w:before="200" w:after="200"/>
    </w:pPr>
    <w:rPr>
      <w:sz w:val="24"/>
      <w:szCs w:val="24"/>
    </w:rPr>
  </w:style>
  <w:style w:type="character" w:styleId="1042">
    <w:name w:val="Subtitle Char"/>
    <w:link w:val="1041"/>
    <w:uiPriority w:val="11"/>
    <w:rPr>
      <w:sz w:val="24"/>
      <w:szCs w:val="24"/>
    </w:rPr>
  </w:style>
  <w:style w:type="paragraph" w:styleId="1043">
    <w:name w:val="Quote"/>
    <w:basedOn w:val="1197"/>
    <w:next w:val="1197"/>
    <w:link w:val="1044"/>
    <w:uiPriority w:val="29"/>
    <w:qFormat/>
    <w:pPr>
      <w:ind w:left="720" w:right="720"/>
    </w:pPr>
    <w:rPr>
      <w:i/>
    </w:rPr>
  </w:style>
  <w:style w:type="character" w:styleId="1044">
    <w:name w:val="Quote Char"/>
    <w:link w:val="1043"/>
    <w:uiPriority w:val="29"/>
    <w:rPr>
      <w:i/>
    </w:rPr>
  </w:style>
  <w:style w:type="paragraph" w:styleId="1045">
    <w:name w:val="Intense Quote"/>
    <w:basedOn w:val="1197"/>
    <w:next w:val="1197"/>
    <w:link w:val="10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name w:val="Intense Quote Char"/>
    <w:link w:val="1045"/>
    <w:uiPriority w:val="30"/>
    <w:rPr>
      <w:i/>
    </w:rPr>
  </w:style>
  <w:style w:type="paragraph" w:styleId="1047">
    <w:name w:val="Header"/>
    <w:basedOn w:val="1197"/>
    <w:link w:val="1048"/>
    <w:uiPriority w:val="99"/>
    <w:unhideWhenUsed/>
    <w:pPr>
      <w:spacing w:after="0" w:line="240" w:lineRule="auto"/>
      <w:tabs>
        <w:tab w:val="center" w:pos="7143" w:leader="none"/>
        <w:tab w:val="right" w:pos="14287" w:leader="none"/>
      </w:tabs>
    </w:pPr>
  </w:style>
  <w:style w:type="character" w:styleId="1048">
    <w:name w:val="Header Char"/>
    <w:link w:val="1047"/>
    <w:uiPriority w:val="99"/>
  </w:style>
  <w:style w:type="paragraph" w:styleId="1049">
    <w:name w:val="Footer"/>
    <w:basedOn w:val="1197"/>
    <w:link w:val="1052"/>
    <w:uiPriority w:val="99"/>
    <w:unhideWhenUsed/>
    <w:pPr>
      <w:spacing w:after="0" w:line="240" w:lineRule="auto"/>
      <w:tabs>
        <w:tab w:val="center" w:pos="7143" w:leader="none"/>
        <w:tab w:val="right" w:pos="14287" w:leader="none"/>
      </w:tabs>
    </w:pPr>
  </w:style>
  <w:style w:type="character" w:styleId="1050">
    <w:name w:val="Footer Char"/>
    <w:link w:val="1049"/>
    <w:uiPriority w:val="99"/>
  </w:style>
  <w:style w:type="paragraph" w:styleId="1051">
    <w:name w:val="Caption"/>
    <w:basedOn w:val="1197"/>
    <w:next w:val="1197"/>
    <w:uiPriority w:val="35"/>
    <w:semiHidden/>
    <w:unhideWhenUsed/>
    <w:qFormat/>
    <w:pPr>
      <w:spacing w:line="276" w:lineRule="auto"/>
    </w:pPr>
    <w:rPr>
      <w:b/>
      <w:bCs/>
      <w:color w:val="4f81bd" w:themeColor="accent1"/>
      <w:sz w:val="18"/>
      <w:szCs w:val="18"/>
    </w:rPr>
  </w:style>
  <w:style w:type="character" w:styleId="1052">
    <w:name w:val="Caption Char"/>
    <w:basedOn w:val="1051"/>
    <w:link w:val="1049"/>
    <w:uiPriority w:val="99"/>
  </w:style>
  <w:style w:type="table" w:styleId="10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79">
    <w:name w:val="Hyperlink"/>
    <w:uiPriority w:val="99"/>
    <w:unhideWhenUsed/>
    <w:rPr>
      <w:color w:val="0000ff" w:themeColor="hyperlink"/>
      <w:u w:val="single"/>
    </w:rPr>
  </w:style>
  <w:style w:type="paragraph" w:styleId="1180">
    <w:name w:val="footnote text"/>
    <w:basedOn w:val="1197"/>
    <w:link w:val="1181"/>
    <w:uiPriority w:val="99"/>
    <w:semiHidden/>
    <w:unhideWhenUsed/>
    <w:pPr>
      <w:spacing w:after="40" w:line="240" w:lineRule="auto"/>
    </w:pPr>
    <w:rPr>
      <w:sz w:val="18"/>
    </w:rPr>
  </w:style>
  <w:style w:type="character" w:styleId="1181">
    <w:name w:val="Footnote Text Char"/>
    <w:link w:val="1180"/>
    <w:uiPriority w:val="99"/>
    <w:rPr>
      <w:sz w:val="18"/>
    </w:rPr>
  </w:style>
  <w:style w:type="character" w:styleId="1182">
    <w:name w:val="footnote reference"/>
    <w:uiPriority w:val="99"/>
    <w:unhideWhenUsed/>
    <w:rPr>
      <w:vertAlign w:val="superscript"/>
    </w:rPr>
  </w:style>
  <w:style w:type="paragraph" w:styleId="1183">
    <w:name w:val="endnote text"/>
    <w:basedOn w:val="1197"/>
    <w:link w:val="1184"/>
    <w:uiPriority w:val="99"/>
    <w:semiHidden/>
    <w:unhideWhenUsed/>
    <w:pPr>
      <w:spacing w:after="0" w:line="240" w:lineRule="auto"/>
    </w:pPr>
    <w:rPr>
      <w:sz w:val="20"/>
    </w:rPr>
  </w:style>
  <w:style w:type="character" w:styleId="1184">
    <w:name w:val="Endnote Text Char"/>
    <w:link w:val="1183"/>
    <w:uiPriority w:val="99"/>
    <w:rPr>
      <w:sz w:val="20"/>
    </w:rPr>
  </w:style>
  <w:style w:type="character" w:styleId="1185">
    <w:name w:val="endnote reference"/>
    <w:uiPriority w:val="99"/>
    <w:semiHidden/>
    <w:unhideWhenUsed/>
    <w:rPr>
      <w:vertAlign w:val="superscript"/>
    </w:rPr>
  </w:style>
  <w:style w:type="paragraph" w:styleId="1186">
    <w:name w:val="toc 1"/>
    <w:basedOn w:val="1197"/>
    <w:next w:val="1197"/>
    <w:uiPriority w:val="39"/>
    <w:unhideWhenUsed/>
    <w:pPr>
      <w:ind w:left="0" w:right="0" w:firstLine="0"/>
      <w:spacing w:after="57"/>
    </w:pPr>
  </w:style>
  <w:style w:type="paragraph" w:styleId="1187">
    <w:name w:val="toc 2"/>
    <w:basedOn w:val="1197"/>
    <w:next w:val="1197"/>
    <w:uiPriority w:val="39"/>
    <w:unhideWhenUsed/>
    <w:pPr>
      <w:ind w:left="283" w:right="0" w:firstLine="0"/>
      <w:spacing w:after="57"/>
    </w:pPr>
  </w:style>
  <w:style w:type="paragraph" w:styleId="1188">
    <w:name w:val="toc 3"/>
    <w:basedOn w:val="1197"/>
    <w:next w:val="1197"/>
    <w:uiPriority w:val="39"/>
    <w:unhideWhenUsed/>
    <w:pPr>
      <w:ind w:left="567" w:right="0" w:firstLine="0"/>
      <w:spacing w:after="57"/>
    </w:pPr>
  </w:style>
  <w:style w:type="paragraph" w:styleId="1189">
    <w:name w:val="toc 4"/>
    <w:basedOn w:val="1197"/>
    <w:next w:val="1197"/>
    <w:uiPriority w:val="39"/>
    <w:unhideWhenUsed/>
    <w:pPr>
      <w:ind w:left="850" w:right="0" w:firstLine="0"/>
      <w:spacing w:after="57"/>
    </w:pPr>
  </w:style>
  <w:style w:type="paragraph" w:styleId="1190">
    <w:name w:val="toc 5"/>
    <w:basedOn w:val="1197"/>
    <w:next w:val="1197"/>
    <w:uiPriority w:val="39"/>
    <w:unhideWhenUsed/>
    <w:pPr>
      <w:ind w:left="1134" w:right="0" w:firstLine="0"/>
      <w:spacing w:after="57"/>
    </w:pPr>
  </w:style>
  <w:style w:type="paragraph" w:styleId="1191">
    <w:name w:val="toc 6"/>
    <w:basedOn w:val="1197"/>
    <w:next w:val="1197"/>
    <w:uiPriority w:val="39"/>
    <w:unhideWhenUsed/>
    <w:pPr>
      <w:ind w:left="1417" w:right="0" w:firstLine="0"/>
      <w:spacing w:after="57"/>
    </w:pPr>
  </w:style>
  <w:style w:type="paragraph" w:styleId="1192">
    <w:name w:val="toc 7"/>
    <w:basedOn w:val="1197"/>
    <w:next w:val="1197"/>
    <w:uiPriority w:val="39"/>
    <w:unhideWhenUsed/>
    <w:pPr>
      <w:ind w:left="1701" w:right="0" w:firstLine="0"/>
      <w:spacing w:after="57"/>
    </w:pPr>
  </w:style>
  <w:style w:type="paragraph" w:styleId="1193">
    <w:name w:val="toc 8"/>
    <w:basedOn w:val="1197"/>
    <w:next w:val="1197"/>
    <w:uiPriority w:val="39"/>
    <w:unhideWhenUsed/>
    <w:pPr>
      <w:ind w:left="1984" w:right="0" w:firstLine="0"/>
      <w:spacing w:after="57"/>
    </w:pPr>
  </w:style>
  <w:style w:type="paragraph" w:styleId="1194">
    <w:name w:val="toc 9"/>
    <w:basedOn w:val="1197"/>
    <w:next w:val="1197"/>
    <w:uiPriority w:val="39"/>
    <w:unhideWhenUsed/>
    <w:pPr>
      <w:ind w:left="2268" w:right="0" w:firstLine="0"/>
      <w:spacing w:after="57"/>
    </w:pPr>
  </w:style>
  <w:style w:type="paragraph" w:styleId="1195">
    <w:name w:val="TOC Heading"/>
    <w:uiPriority w:val="39"/>
    <w:unhideWhenUsed/>
  </w:style>
  <w:style w:type="paragraph" w:styleId="1196">
    <w:name w:val="table of figures"/>
    <w:basedOn w:val="1197"/>
    <w:next w:val="1197"/>
    <w:uiPriority w:val="99"/>
    <w:unhideWhenUsed/>
    <w:pPr>
      <w:spacing w:after="0" w:afterAutospacing="0"/>
    </w:pPr>
  </w:style>
  <w:style w:type="paragraph" w:styleId="1197" w:default="1">
    <w:name w:val="Normal"/>
    <w:next w:val="1200"/>
    <w:link w:val="1197"/>
    <w:qFormat/>
    <w:pPr>
      <w:jc w:val="both"/>
      <w:widowControl w:val="off"/>
    </w:pPr>
    <w:rPr>
      <w:sz w:val="21"/>
      <w:szCs w:val="24"/>
      <w:lang w:val="en-US" w:eastAsia="zh-CN" w:bidi="ar-SA"/>
    </w:rPr>
  </w:style>
  <w:style w:type="paragraph" w:styleId="1198">
    <w:name w:val="标题 1"/>
    <w:basedOn w:val="1197"/>
    <w:next w:val="1197"/>
    <w:link w:val="1210"/>
    <w:qFormat/>
    <w:pPr>
      <w:jc w:val="center"/>
      <w:keepLines/>
      <w:keepNext/>
      <w:spacing w:before="240" w:after="120" w:line="300" w:lineRule="auto"/>
      <w:outlineLvl w:val="0"/>
    </w:pPr>
    <w:rPr>
      <w:rFonts w:ascii="宋体"/>
      <w:b/>
      <w:sz w:val="32"/>
      <w:szCs w:val="20"/>
    </w:rPr>
  </w:style>
  <w:style w:type="paragraph" w:styleId="1199">
    <w:name w:val="标题 2"/>
    <w:basedOn w:val="1197"/>
    <w:next w:val="1197"/>
    <w:link w:val="1211"/>
    <w:qFormat/>
    <w:pPr>
      <w:jc w:val="center"/>
      <w:keepLines/>
      <w:keepNext/>
      <w:spacing w:before="120" w:line="300" w:lineRule="auto"/>
      <w:outlineLvl w:val="1"/>
    </w:pPr>
    <w:rPr>
      <w:rFonts w:ascii="Arial" w:hAnsi="Arial" w:eastAsia="黑体"/>
      <w:b/>
      <w:sz w:val="30"/>
      <w:szCs w:val="20"/>
    </w:rPr>
  </w:style>
  <w:style w:type="paragraph" w:styleId="1200">
    <w:name w:val="标题 3"/>
    <w:basedOn w:val="1197"/>
    <w:next w:val="1197"/>
    <w:link w:val="1209"/>
    <w:qFormat/>
    <w:pPr>
      <w:jc w:val="left"/>
      <w:keepLines/>
      <w:keepNext/>
      <w:spacing w:before="360" w:after="120"/>
      <w:outlineLvl w:val="2"/>
    </w:pPr>
    <w:rPr>
      <w:rFonts w:ascii="宋体"/>
      <w:b/>
      <w:sz w:val="24"/>
      <w:szCs w:val="20"/>
      <w:u w:val="single"/>
    </w:rPr>
  </w:style>
  <w:style w:type="paragraph" w:styleId="1201">
    <w:name w:val="标题 4"/>
    <w:basedOn w:val="1197"/>
    <w:next w:val="1197"/>
    <w:link w:val="1212"/>
    <w:qFormat/>
    <w:pPr>
      <w:keepLines/>
      <w:keepNext/>
      <w:spacing w:before="280" w:after="290" w:line="376" w:lineRule="atLeast"/>
      <w:outlineLvl w:val="3"/>
    </w:pPr>
    <w:rPr>
      <w:rFonts w:ascii="Arial" w:hAnsi="Arial" w:eastAsia="黑体"/>
      <w:b/>
      <w:sz w:val="28"/>
      <w:szCs w:val="20"/>
    </w:rPr>
  </w:style>
  <w:style w:type="paragraph" w:styleId="1202">
    <w:name w:val="标题 5"/>
    <w:basedOn w:val="1197"/>
    <w:next w:val="1197"/>
    <w:link w:val="1213"/>
    <w:qFormat/>
    <w:pPr>
      <w:keepLines/>
      <w:keepNext/>
      <w:spacing w:before="280" w:after="290" w:line="376" w:lineRule="atLeast"/>
      <w:outlineLvl w:val="4"/>
    </w:pPr>
    <w:rPr>
      <w:b/>
      <w:sz w:val="28"/>
      <w:szCs w:val="20"/>
    </w:rPr>
  </w:style>
  <w:style w:type="paragraph" w:styleId="1203">
    <w:name w:val="标题 6"/>
    <w:basedOn w:val="1197"/>
    <w:next w:val="1197"/>
    <w:link w:val="1214"/>
    <w:qFormat/>
    <w:pPr>
      <w:keepLines/>
      <w:keepNext/>
      <w:spacing w:before="240" w:after="64" w:line="320" w:lineRule="atLeast"/>
      <w:outlineLvl w:val="5"/>
    </w:pPr>
    <w:rPr>
      <w:rFonts w:ascii="Arial" w:hAnsi="Arial" w:eastAsia="黑体"/>
      <w:b/>
      <w:sz w:val="24"/>
      <w:szCs w:val="20"/>
    </w:rPr>
  </w:style>
  <w:style w:type="paragraph" w:styleId="1204">
    <w:name w:val="标题 7"/>
    <w:basedOn w:val="1197"/>
    <w:next w:val="1197"/>
    <w:link w:val="1215"/>
    <w:qFormat/>
    <w:pPr>
      <w:keepLines/>
      <w:keepNext/>
      <w:spacing w:before="240" w:after="64" w:line="320" w:lineRule="atLeast"/>
      <w:outlineLvl w:val="6"/>
    </w:pPr>
    <w:rPr>
      <w:b/>
      <w:sz w:val="24"/>
      <w:szCs w:val="20"/>
    </w:rPr>
  </w:style>
  <w:style w:type="paragraph" w:styleId="1205">
    <w:name w:val="标题 8"/>
    <w:basedOn w:val="1197"/>
    <w:next w:val="1197"/>
    <w:link w:val="1216"/>
    <w:qFormat/>
    <w:pPr>
      <w:keepLines/>
      <w:keepNext/>
      <w:spacing w:before="240" w:after="64" w:line="320" w:lineRule="atLeast"/>
      <w:outlineLvl w:val="7"/>
    </w:pPr>
    <w:rPr>
      <w:rFonts w:ascii="Arial" w:hAnsi="Arial" w:eastAsia="黑体"/>
      <w:sz w:val="24"/>
      <w:szCs w:val="20"/>
    </w:rPr>
  </w:style>
  <w:style w:type="paragraph" w:styleId="1206">
    <w:name w:val="标题 9"/>
    <w:basedOn w:val="1197"/>
    <w:next w:val="1197"/>
    <w:link w:val="1217"/>
    <w:qFormat/>
    <w:pPr>
      <w:keepLines/>
      <w:keepNext/>
      <w:spacing w:before="240" w:after="64" w:line="320" w:lineRule="atLeast"/>
      <w:outlineLvl w:val="8"/>
    </w:pPr>
    <w:rPr>
      <w:rFonts w:ascii="Arial" w:hAnsi="Arial" w:eastAsia="黑体"/>
      <w:szCs w:val="20"/>
    </w:rPr>
  </w:style>
  <w:style w:type="character" w:styleId="1207">
    <w:name w:val="默认段落字体"/>
    <w:next w:val="1207"/>
    <w:link w:val="1197"/>
    <w:uiPriority w:val="1"/>
    <w:unhideWhenUsed/>
    <w:qFormat/>
  </w:style>
  <w:style w:type="table" w:styleId="1208">
    <w:name w:val="普通表格"/>
    <w:next w:val="1208"/>
    <w:link w:val="1197"/>
    <w:uiPriority w:val="99"/>
    <w:unhideWhenUsed/>
    <w:qFormat/>
    <w:tblPr/>
  </w:style>
  <w:style w:type="character" w:styleId="1209">
    <w:name w:val="标题 3 Char1"/>
    <w:next w:val="1209"/>
    <w:link w:val="1200"/>
    <w:qFormat/>
    <w:rPr>
      <w:rFonts w:ascii="宋体" w:eastAsia="宋体"/>
      <w:b/>
      <w:sz w:val="24"/>
      <w:u w:val="single"/>
      <w:lang w:val="en-US" w:eastAsia="zh-CN" w:bidi="ar-SA"/>
    </w:rPr>
  </w:style>
  <w:style w:type="character" w:styleId="1210">
    <w:name w:val="标题 1 Char"/>
    <w:basedOn w:val="1207"/>
    <w:next w:val="1210"/>
    <w:link w:val="1198"/>
    <w:qFormat/>
    <w:rPr>
      <w:rFonts w:ascii="宋体"/>
      <w:b/>
      <w:sz w:val="32"/>
    </w:rPr>
  </w:style>
  <w:style w:type="character" w:styleId="1211">
    <w:name w:val="标题 2 Char1"/>
    <w:next w:val="1211"/>
    <w:link w:val="1199"/>
    <w:qFormat/>
    <w:rPr>
      <w:rFonts w:ascii="Arial" w:hAnsi="Arial" w:eastAsia="黑体"/>
      <w:b/>
      <w:sz w:val="30"/>
      <w:lang w:val="en-US" w:eastAsia="zh-CN" w:bidi="ar-SA"/>
    </w:rPr>
  </w:style>
  <w:style w:type="character" w:styleId="1212">
    <w:name w:val="标题 4 Char"/>
    <w:basedOn w:val="1207"/>
    <w:next w:val="1212"/>
    <w:link w:val="1201"/>
    <w:qFormat/>
    <w:rPr>
      <w:rFonts w:ascii="Arial" w:hAnsi="Arial" w:eastAsia="黑体"/>
      <w:b/>
      <w:sz w:val="28"/>
    </w:rPr>
  </w:style>
  <w:style w:type="character" w:styleId="1213">
    <w:name w:val="标题 5 Char"/>
    <w:basedOn w:val="1207"/>
    <w:next w:val="1213"/>
    <w:link w:val="1202"/>
    <w:qFormat/>
    <w:rPr>
      <w:b/>
      <w:sz w:val="28"/>
    </w:rPr>
  </w:style>
  <w:style w:type="character" w:styleId="1214">
    <w:name w:val="标题 6 Char"/>
    <w:basedOn w:val="1207"/>
    <w:next w:val="1214"/>
    <w:link w:val="1203"/>
    <w:qFormat/>
    <w:rPr>
      <w:rFonts w:ascii="Arial" w:hAnsi="Arial" w:eastAsia="黑体"/>
      <w:b/>
      <w:sz w:val="24"/>
    </w:rPr>
  </w:style>
  <w:style w:type="character" w:styleId="1215">
    <w:name w:val="标题 7 Char"/>
    <w:basedOn w:val="1207"/>
    <w:next w:val="1215"/>
    <w:link w:val="1204"/>
    <w:qFormat/>
    <w:rPr>
      <w:b/>
      <w:sz w:val="24"/>
    </w:rPr>
  </w:style>
  <w:style w:type="character" w:styleId="1216">
    <w:name w:val="标题 8 Char"/>
    <w:basedOn w:val="1207"/>
    <w:next w:val="1216"/>
    <w:link w:val="1205"/>
    <w:qFormat/>
    <w:rPr>
      <w:rFonts w:ascii="Arial" w:hAnsi="Arial" w:eastAsia="黑体"/>
      <w:sz w:val="24"/>
    </w:rPr>
  </w:style>
  <w:style w:type="character" w:styleId="1217">
    <w:name w:val="标题 9 Char"/>
    <w:basedOn w:val="1207"/>
    <w:next w:val="1217"/>
    <w:link w:val="1206"/>
    <w:qFormat/>
    <w:rPr>
      <w:rFonts w:ascii="Arial" w:hAnsi="Arial" w:eastAsia="黑体"/>
      <w:sz w:val="21"/>
    </w:rPr>
  </w:style>
  <w:style w:type="paragraph" w:styleId="1218">
    <w:name w:val="目录 7"/>
    <w:basedOn w:val="1197"/>
    <w:next w:val="1197"/>
    <w:link w:val="1197"/>
    <w:qFormat/>
    <w:pPr>
      <w:ind w:left="2520"/>
    </w:pPr>
  </w:style>
  <w:style w:type="paragraph" w:styleId="1219">
    <w:name w:val="引文目录"/>
    <w:basedOn w:val="1197"/>
    <w:next w:val="1197"/>
    <w:link w:val="1197"/>
    <w:qFormat/>
    <w:pPr>
      <w:ind w:left="420"/>
      <w:spacing w:line="300" w:lineRule="auto"/>
    </w:pPr>
    <w:rPr>
      <w:rFonts w:ascii="Calibri" w:hAnsi="Calibri"/>
    </w:rPr>
  </w:style>
  <w:style w:type="paragraph" w:styleId="1220">
    <w:name w:val="正文缩进"/>
    <w:basedOn w:val="1197"/>
    <w:next w:val="1197"/>
    <w:link w:val="1221"/>
    <w:qFormat/>
    <w:pPr>
      <w:ind w:firstLine="420"/>
      <w:jc w:val="left"/>
    </w:pPr>
    <w:rPr>
      <w:rFonts w:ascii="宋体"/>
      <w:sz w:val="24"/>
    </w:rPr>
  </w:style>
  <w:style w:type="character" w:styleId="1221">
    <w:name w:val="正文缩进 Char1"/>
    <w:next w:val="1221"/>
    <w:link w:val="1220"/>
    <w:qFormat/>
    <w:rPr>
      <w:rFonts w:ascii="宋体" w:eastAsia="宋体"/>
      <w:sz w:val="24"/>
      <w:szCs w:val="24"/>
      <w:lang w:val="en-US" w:eastAsia="zh-CN" w:bidi="ar-SA"/>
    </w:rPr>
  </w:style>
  <w:style w:type="paragraph" w:styleId="1222">
    <w:name w:val="题注"/>
    <w:basedOn w:val="1197"/>
    <w:next w:val="1197"/>
    <w:link w:val="1197"/>
    <w:qFormat/>
    <w:pPr>
      <w:spacing w:line="480" w:lineRule="auto"/>
    </w:pPr>
    <w:rPr>
      <w:rFonts w:ascii="华文中宋" w:hAnsi="华文中宋" w:eastAsia="华文中宋"/>
      <w:sz w:val="36"/>
      <w:szCs w:val="20"/>
    </w:rPr>
  </w:style>
  <w:style w:type="paragraph" w:styleId="1223">
    <w:name w:val="文档结构图"/>
    <w:basedOn w:val="1197"/>
    <w:next w:val="1197"/>
    <w:link w:val="1224"/>
    <w:qFormat/>
    <w:pPr>
      <w:shd w:val="clear" w:color="auto" w:fill="000080"/>
    </w:pPr>
  </w:style>
  <w:style w:type="character" w:styleId="1224">
    <w:name w:val="文档结构图 Char"/>
    <w:basedOn w:val="1207"/>
    <w:next w:val="1224"/>
    <w:link w:val="1223"/>
    <w:qFormat/>
    <w:rPr>
      <w:sz w:val="21"/>
      <w:szCs w:val="24"/>
      <w:shd w:val="clear" w:color="auto" w:fill="000080"/>
    </w:rPr>
  </w:style>
  <w:style w:type="paragraph" w:styleId="1225">
    <w:name w:val="批注文字"/>
    <w:basedOn w:val="1197"/>
    <w:next w:val="1225"/>
    <w:link w:val="1226"/>
    <w:uiPriority w:val="99"/>
    <w:qFormat/>
    <w:pPr>
      <w:jc w:val="left"/>
    </w:pPr>
  </w:style>
  <w:style w:type="character" w:styleId="1226">
    <w:name w:val="批注文字 Char1"/>
    <w:next w:val="1226"/>
    <w:link w:val="1225"/>
    <w:uiPriority w:val="99"/>
    <w:qFormat/>
    <w:rPr>
      <w:sz w:val="21"/>
      <w:szCs w:val="24"/>
    </w:rPr>
  </w:style>
  <w:style w:type="paragraph" w:styleId="1227">
    <w:name w:val="正文文本 3"/>
    <w:basedOn w:val="1197"/>
    <w:next w:val="1227"/>
    <w:link w:val="1228"/>
    <w:qFormat/>
    <w:pPr>
      <w:spacing w:after="120"/>
    </w:pPr>
    <w:rPr>
      <w:sz w:val="16"/>
      <w:szCs w:val="16"/>
    </w:rPr>
  </w:style>
  <w:style w:type="character" w:styleId="1228">
    <w:name w:val="正文文本 3 Char"/>
    <w:basedOn w:val="1207"/>
    <w:next w:val="1228"/>
    <w:link w:val="1227"/>
    <w:qFormat/>
    <w:rPr>
      <w:sz w:val="16"/>
      <w:szCs w:val="16"/>
    </w:rPr>
  </w:style>
  <w:style w:type="paragraph" w:styleId="1229">
    <w:name w:val="正文文本"/>
    <w:basedOn w:val="1197"/>
    <w:next w:val="1229"/>
    <w:link w:val="1230"/>
    <w:qFormat/>
    <w:pPr>
      <w:spacing w:before="120" w:line="22" w:lineRule="atLeast"/>
      <w:tabs>
        <w:tab w:val="left" w:pos="567" w:leader="none"/>
      </w:tabs>
    </w:pPr>
    <w:rPr>
      <w:rFonts w:ascii="宋体" w:hAnsi="宋体"/>
      <w:sz w:val="24"/>
    </w:rPr>
  </w:style>
  <w:style w:type="character" w:styleId="1230">
    <w:name w:val="正文文本 Char"/>
    <w:basedOn w:val="1207"/>
    <w:next w:val="1230"/>
    <w:link w:val="1229"/>
    <w:qFormat/>
    <w:rPr>
      <w:rFonts w:ascii="宋体" w:hAnsi="宋体"/>
      <w:sz w:val="24"/>
      <w:szCs w:val="24"/>
    </w:rPr>
  </w:style>
  <w:style w:type="paragraph" w:styleId="1231">
    <w:name w:val="正文文本缩进"/>
    <w:basedOn w:val="1197"/>
    <w:next w:val="1197"/>
    <w:link w:val="1232"/>
    <w:qFormat/>
    <w:pPr>
      <w:ind w:firstLine="570"/>
      <w:spacing w:line="360" w:lineRule="auto"/>
    </w:pPr>
    <w:rPr>
      <w:sz w:val="24"/>
    </w:rPr>
  </w:style>
  <w:style w:type="character" w:styleId="1232">
    <w:name w:val="正文文本缩进 Char2"/>
    <w:next w:val="1232"/>
    <w:link w:val="1231"/>
    <w:qFormat/>
    <w:rPr>
      <w:rFonts w:eastAsia="宋体"/>
      <w:sz w:val="24"/>
      <w:szCs w:val="24"/>
      <w:lang w:val="en-US" w:eastAsia="zh-CN" w:bidi="ar-SA"/>
    </w:rPr>
  </w:style>
  <w:style w:type="paragraph" w:styleId="1233">
    <w:name w:val="列表 2"/>
    <w:basedOn w:val="1197"/>
    <w:next w:val="1233"/>
    <w:link w:val="1197"/>
    <w:qFormat/>
    <w:pPr>
      <w:ind w:left="100" w:hanging="200"/>
    </w:pPr>
  </w:style>
  <w:style w:type="paragraph" w:styleId="1234">
    <w:name w:val="文本块"/>
    <w:basedOn w:val="1197"/>
    <w:next w:val="1234"/>
    <w:link w:val="1197"/>
    <w:qFormat/>
    <w:pPr>
      <w:ind w:left="480" w:right="-341" w:firstLine="513"/>
      <w:widowControl/>
    </w:pPr>
    <w:rPr>
      <w:sz w:val="24"/>
      <w:szCs w:val="20"/>
    </w:rPr>
  </w:style>
  <w:style w:type="paragraph" w:styleId="1235">
    <w:name w:val="目录 5"/>
    <w:basedOn w:val="1197"/>
    <w:next w:val="1197"/>
    <w:link w:val="1197"/>
    <w:qFormat/>
    <w:pPr>
      <w:ind w:left="1680"/>
    </w:pPr>
  </w:style>
  <w:style w:type="paragraph" w:styleId="1236">
    <w:name w:val="目录 3"/>
    <w:basedOn w:val="1197"/>
    <w:next w:val="1197"/>
    <w:link w:val="1197"/>
    <w:uiPriority w:val="39"/>
    <w:qFormat/>
    <w:pPr>
      <w:ind w:left="840"/>
    </w:pPr>
  </w:style>
  <w:style w:type="paragraph" w:styleId="1237">
    <w:name w:val="纯文本"/>
    <w:basedOn w:val="1197"/>
    <w:next w:val="1220"/>
    <w:link w:val="1238"/>
    <w:qFormat/>
    <w:rPr>
      <w:rFonts w:hint="eastAsia" w:ascii="宋体" w:hAnsi="Courier New"/>
      <w:szCs w:val="20"/>
    </w:rPr>
  </w:style>
  <w:style w:type="character" w:styleId="1238">
    <w:name w:val="纯文本 Char"/>
    <w:basedOn w:val="1207"/>
    <w:next w:val="1238"/>
    <w:link w:val="1237"/>
    <w:qFormat/>
    <w:rPr>
      <w:rFonts w:hint="eastAsia" w:ascii="宋体" w:hAnsi="Courier New" w:eastAsia="宋体" w:cs="宋体"/>
      <w:sz w:val="21"/>
    </w:rPr>
  </w:style>
  <w:style w:type="paragraph" w:styleId="1239">
    <w:name w:val="目录 8"/>
    <w:basedOn w:val="1197"/>
    <w:next w:val="1197"/>
    <w:link w:val="1197"/>
    <w:qFormat/>
    <w:pPr>
      <w:ind w:left="2940"/>
    </w:pPr>
  </w:style>
  <w:style w:type="paragraph" w:styleId="1240">
    <w:name w:val="日期"/>
    <w:basedOn w:val="1197"/>
    <w:next w:val="1197"/>
    <w:link w:val="1241"/>
    <w:qFormat/>
    <w:pPr>
      <w:ind w:left="100"/>
    </w:pPr>
    <w:rPr>
      <w:rFonts w:ascii="仿宋_GB2312" w:hAnsi="宋体" w:eastAsia="仿宋_GB2312"/>
      <w:color w:val="000000"/>
      <w:sz w:val="24"/>
    </w:rPr>
  </w:style>
  <w:style w:type="character" w:styleId="1241">
    <w:name w:val="日期 Char"/>
    <w:basedOn w:val="1207"/>
    <w:next w:val="1241"/>
    <w:link w:val="1240"/>
    <w:qFormat/>
    <w:rPr>
      <w:rFonts w:ascii="仿宋_GB2312" w:hAnsi="宋体" w:eastAsia="仿宋_GB2312"/>
      <w:color w:val="000000"/>
      <w:sz w:val="24"/>
      <w:szCs w:val="24"/>
    </w:rPr>
  </w:style>
  <w:style w:type="paragraph" w:styleId="1242">
    <w:name w:val="正文文本缩进 2"/>
    <w:basedOn w:val="1197"/>
    <w:next w:val="1242"/>
    <w:link w:val="1243"/>
    <w:qFormat/>
    <w:pPr>
      <w:ind w:firstLine="480"/>
    </w:pPr>
    <w:rPr>
      <w:rFonts w:ascii="仿宋_GB2312" w:eastAsia="仿宋_GB2312"/>
      <w:sz w:val="24"/>
    </w:rPr>
  </w:style>
  <w:style w:type="character" w:styleId="1243">
    <w:name w:val="正文文本缩进 2 Char"/>
    <w:basedOn w:val="1207"/>
    <w:next w:val="1243"/>
    <w:link w:val="1242"/>
    <w:qFormat/>
    <w:rPr>
      <w:rFonts w:ascii="仿宋_GB2312" w:eastAsia="仿宋_GB2312"/>
      <w:sz w:val="24"/>
      <w:szCs w:val="24"/>
    </w:rPr>
  </w:style>
  <w:style w:type="paragraph" w:styleId="1244">
    <w:name w:val="批注框文本"/>
    <w:basedOn w:val="1197"/>
    <w:next w:val="1244"/>
    <w:link w:val="1245"/>
    <w:qFormat/>
    <w:rPr>
      <w:sz w:val="18"/>
      <w:szCs w:val="18"/>
    </w:rPr>
  </w:style>
  <w:style w:type="character" w:styleId="1245">
    <w:name w:val="批注框文本 Char"/>
    <w:basedOn w:val="1207"/>
    <w:next w:val="1245"/>
    <w:link w:val="1244"/>
    <w:qFormat/>
    <w:rPr>
      <w:sz w:val="18"/>
      <w:szCs w:val="18"/>
    </w:rPr>
  </w:style>
  <w:style w:type="paragraph" w:styleId="1246">
    <w:name w:val="页脚"/>
    <w:basedOn w:val="1197"/>
    <w:next w:val="1246"/>
    <w:link w:val="1247"/>
    <w:uiPriority w:val="99"/>
    <w:qFormat/>
    <w:pPr>
      <w:jc w:val="left"/>
      <w:tabs>
        <w:tab w:val="center" w:pos="4153" w:leader="none"/>
        <w:tab w:val="right" w:pos="8306" w:leader="none"/>
      </w:tabs>
    </w:pPr>
    <w:rPr>
      <w:rFonts w:ascii="宋体"/>
      <w:sz w:val="18"/>
      <w:szCs w:val="20"/>
    </w:rPr>
  </w:style>
  <w:style w:type="character" w:styleId="1247">
    <w:name w:val="页脚 Char1"/>
    <w:next w:val="1247"/>
    <w:link w:val="1246"/>
    <w:uiPriority w:val="99"/>
    <w:qFormat/>
    <w:rPr>
      <w:rFonts w:ascii="宋体" w:eastAsia="宋体"/>
      <w:sz w:val="18"/>
      <w:lang w:val="en-US" w:eastAsia="zh-CN" w:bidi="ar-SA"/>
    </w:rPr>
  </w:style>
  <w:style w:type="paragraph" w:styleId="1248">
    <w:name w:val="页眉"/>
    <w:basedOn w:val="1197"/>
    <w:next w:val="1248"/>
    <w:link w:val="1249"/>
    <w:qFormat/>
    <w:pPr>
      <w:jc w:val="center"/>
      <w:tabs>
        <w:tab w:val="center" w:pos="4153" w:leader="none"/>
        <w:tab w:val="right" w:pos="8306" w:leader="none"/>
      </w:tabs>
      <w:pBdr>
        <w:bottom w:val="single" w:color="000000" w:sz="6" w:space="1"/>
      </w:pBdr>
    </w:pPr>
    <w:rPr>
      <w:sz w:val="18"/>
      <w:szCs w:val="18"/>
    </w:rPr>
  </w:style>
  <w:style w:type="character" w:styleId="1249">
    <w:name w:val="页眉 Char1"/>
    <w:next w:val="1249"/>
    <w:link w:val="1248"/>
    <w:qFormat/>
    <w:rPr>
      <w:rFonts w:eastAsia="宋体"/>
      <w:sz w:val="18"/>
      <w:szCs w:val="18"/>
      <w:lang w:val="en-US" w:eastAsia="zh-CN" w:bidi="ar-SA"/>
    </w:rPr>
  </w:style>
  <w:style w:type="paragraph" w:styleId="1250">
    <w:name w:val="目录 1"/>
    <w:basedOn w:val="1197"/>
    <w:next w:val="1197"/>
    <w:link w:val="1197"/>
    <w:uiPriority w:val="39"/>
    <w:qFormat/>
    <w:pPr>
      <w:spacing w:line="300" w:lineRule="auto"/>
      <w:tabs>
        <w:tab w:val="left" w:pos="1050" w:leader="none"/>
        <w:tab w:val="right" w:pos="8937" w:leader="dot"/>
      </w:tabs>
    </w:pPr>
    <w:rPr>
      <w:rFonts w:ascii="宋体" w:hAnsi="宋体"/>
      <w:b/>
      <w:sz w:val="24"/>
    </w:rPr>
  </w:style>
  <w:style w:type="paragraph" w:styleId="1251">
    <w:name w:val="目录 4"/>
    <w:basedOn w:val="1197"/>
    <w:next w:val="1197"/>
    <w:link w:val="1197"/>
    <w:qFormat/>
    <w:pPr>
      <w:ind w:left="1260"/>
    </w:pPr>
  </w:style>
  <w:style w:type="paragraph" w:styleId="1252">
    <w:name w:val="目录 6"/>
    <w:basedOn w:val="1197"/>
    <w:next w:val="1197"/>
    <w:link w:val="1197"/>
    <w:qFormat/>
    <w:pPr>
      <w:ind w:left="2100"/>
    </w:pPr>
  </w:style>
  <w:style w:type="paragraph" w:styleId="1253">
    <w:name w:val="正文文本缩进 3"/>
    <w:basedOn w:val="1197"/>
    <w:next w:val="1253"/>
    <w:link w:val="1254"/>
    <w:qFormat/>
    <w:pPr>
      <w:ind w:left="720" w:firstLine="480"/>
      <w:jc w:val="left"/>
      <w:spacing w:before="120" w:line="22" w:lineRule="atLeast"/>
    </w:pPr>
    <w:rPr>
      <w:rFonts w:ascii="宋体"/>
      <w:sz w:val="24"/>
      <w:szCs w:val="20"/>
    </w:rPr>
  </w:style>
  <w:style w:type="character" w:styleId="1254">
    <w:name w:val="正文文本缩进 3 Char"/>
    <w:basedOn w:val="1207"/>
    <w:next w:val="1254"/>
    <w:link w:val="1253"/>
    <w:qFormat/>
    <w:rPr>
      <w:rFonts w:ascii="宋体"/>
      <w:sz w:val="24"/>
    </w:rPr>
  </w:style>
  <w:style w:type="paragraph" w:styleId="1255">
    <w:name w:val="目录 2"/>
    <w:basedOn w:val="1197"/>
    <w:next w:val="1197"/>
    <w:link w:val="1197"/>
    <w:uiPriority w:val="39"/>
    <w:qFormat/>
    <w:pPr>
      <w:ind w:left="420"/>
      <w:spacing w:line="312" w:lineRule="auto"/>
      <w:tabs>
        <w:tab w:val="right" w:pos="8937" w:leader="dot"/>
      </w:tabs>
    </w:pPr>
  </w:style>
  <w:style w:type="paragraph" w:styleId="1256">
    <w:name w:val="目录 9"/>
    <w:basedOn w:val="1197"/>
    <w:next w:val="1197"/>
    <w:link w:val="1197"/>
    <w:qFormat/>
    <w:pPr>
      <w:ind w:left="3360"/>
    </w:pPr>
  </w:style>
  <w:style w:type="paragraph" w:styleId="1257">
    <w:name w:val="HTML 预设格式"/>
    <w:basedOn w:val="1197"/>
    <w:next w:val="1257"/>
    <w:link w:val="125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58">
    <w:name w:val="HTML 预设格式 Char"/>
    <w:basedOn w:val="1207"/>
    <w:next w:val="1258"/>
    <w:link w:val="1257"/>
    <w:qFormat/>
    <w:rPr>
      <w:rFonts w:ascii="宋体" w:hAnsi="宋体" w:cs="宋体"/>
      <w:sz w:val="24"/>
      <w:szCs w:val="24"/>
    </w:rPr>
  </w:style>
  <w:style w:type="paragraph" w:styleId="1259">
    <w:name w:val="普通(网站)"/>
    <w:basedOn w:val="1197"/>
    <w:next w:val="1259"/>
    <w:link w:val="1197"/>
    <w:uiPriority w:val="99"/>
    <w:unhideWhenUsed/>
    <w:qFormat/>
    <w:pPr>
      <w:jc w:val="left"/>
      <w:spacing w:before="100" w:beforeAutospacing="1" w:after="100" w:afterAutospacing="1"/>
      <w:widowControl/>
    </w:pPr>
    <w:rPr>
      <w:rFonts w:ascii="宋体" w:hAnsi="宋体" w:cs="宋体"/>
      <w:sz w:val="24"/>
    </w:rPr>
  </w:style>
  <w:style w:type="paragraph" w:styleId="1260">
    <w:name w:val="索引 1"/>
    <w:basedOn w:val="1197"/>
    <w:next w:val="1197"/>
    <w:link w:val="1197"/>
    <w:qFormat/>
    <w:rPr>
      <w:szCs w:val="20"/>
    </w:rPr>
  </w:style>
  <w:style w:type="paragraph" w:styleId="1261">
    <w:name w:val="标题"/>
    <w:basedOn w:val="1197"/>
    <w:next w:val="1197"/>
    <w:link w:val="1262"/>
    <w:qFormat/>
    <w:pPr>
      <w:jc w:val="center"/>
      <w:outlineLvl w:val="0"/>
    </w:pPr>
    <w:rPr>
      <w:b/>
      <w:sz w:val="32"/>
      <w:szCs w:val="20"/>
    </w:rPr>
  </w:style>
  <w:style w:type="character" w:styleId="1262">
    <w:name w:val="标题 Char1"/>
    <w:next w:val="1262"/>
    <w:link w:val="1261"/>
    <w:qFormat/>
    <w:rPr>
      <w:b/>
      <w:sz w:val="32"/>
    </w:rPr>
  </w:style>
  <w:style w:type="paragraph" w:styleId="1263">
    <w:name w:val="批注主题"/>
    <w:basedOn w:val="1225"/>
    <w:next w:val="1225"/>
    <w:link w:val="1264"/>
    <w:qFormat/>
    <w:rPr>
      <w:b/>
      <w:bCs/>
    </w:rPr>
  </w:style>
  <w:style w:type="character" w:styleId="1264">
    <w:name w:val="批注主题 Char"/>
    <w:basedOn w:val="1265"/>
    <w:next w:val="1264"/>
    <w:link w:val="1263"/>
    <w:qFormat/>
    <w:rPr>
      <w:rFonts w:ascii="Times New Roman" w:hAnsi="Times New Roman" w:eastAsia="宋体" w:cs="Times New Roman"/>
      <w:b/>
      <w:bCs/>
      <w:sz w:val="21"/>
      <w:szCs w:val="24"/>
      <w:lang w:val="en-US" w:eastAsia="zh-CN" w:bidi="ar-SA"/>
    </w:rPr>
  </w:style>
  <w:style w:type="character" w:styleId="1265">
    <w:name w:val="批注文字 字符"/>
    <w:next w:val="1265"/>
    <w:link w:val="1197"/>
    <w:uiPriority w:val="99"/>
    <w:qFormat/>
    <w:rPr>
      <w:rFonts w:ascii="Times New Roman" w:hAnsi="Times New Roman" w:eastAsia="宋体" w:cs="Times New Roman"/>
      <w:sz w:val="24"/>
      <w:lang w:val="en-US" w:eastAsia="zh-CN" w:bidi="ar-SA"/>
    </w:rPr>
  </w:style>
  <w:style w:type="paragraph" w:styleId="1266">
    <w:name w:val="正文首行缩进"/>
    <w:basedOn w:val="1229"/>
    <w:next w:val="1266"/>
    <w:link w:val="1197"/>
    <w:qFormat/>
    <w:pPr>
      <w:ind w:firstLine="420"/>
      <w:tabs>
        <w:tab w:val="left" w:pos="567" w:leader="none"/>
      </w:tabs>
    </w:pPr>
    <w:rPr>
      <w:szCs w:val="20"/>
    </w:rPr>
  </w:style>
  <w:style w:type="paragraph" w:styleId="1267">
    <w:name w:val="正文首行缩进 2"/>
    <w:basedOn w:val="1231"/>
    <w:next w:val="1197"/>
    <w:link w:val="1268"/>
    <w:qFormat/>
    <w:pPr>
      <w:ind w:left="420" w:firstLine="420"/>
      <w:spacing w:after="120" w:line="480" w:lineRule="exact"/>
    </w:pPr>
    <w:rPr>
      <w:szCs w:val="20"/>
    </w:rPr>
  </w:style>
  <w:style w:type="character" w:styleId="1268">
    <w:name w:val="正文首行缩进 2 Char"/>
    <w:basedOn w:val="1232"/>
    <w:next w:val="1268"/>
    <w:link w:val="1267"/>
    <w:qFormat/>
    <w:rPr>
      <w:rFonts w:eastAsia="宋体"/>
      <w:sz w:val="24"/>
      <w:szCs w:val="24"/>
      <w:lang w:val="en-US" w:eastAsia="zh-CN" w:bidi="ar-SA"/>
    </w:rPr>
  </w:style>
  <w:style w:type="table" w:styleId="1269">
    <w:name w:val="网格型"/>
    <w:basedOn w:val="1208"/>
    <w:next w:val="1269"/>
    <w:link w:val="1197"/>
    <w:uiPriority w:val="39"/>
    <w:qFormat/>
    <w:tblPr/>
  </w:style>
  <w:style w:type="table" w:styleId="1270">
    <w:name w:val="中等深浅网格 1 - 强调文字颜色 2"/>
    <w:basedOn w:val="1208"/>
    <w:next w:val="1270"/>
    <w:link w:val="1197"/>
    <w:qFormat/>
    <w:rPr>
      <w:sz w:val="21"/>
      <w:szCs w:val="24"/>
    </w:rPr>
    <w:tblPr/>
  </w:style>
  <w:style w:type="character" w:styleId="1271">
    <w:name w:val="要点"/>
    <w:basedOn w:val="1207"/>
    <w:next w:val="1271"/>
    <w:link w:val="1197"/>
    <w:qFormat/>
    <w:rPr>
      <w:b/>
      <w:bCs/>
    </w:rPr>
  </w:style>
  <w:style w:type="character" w:styleId="1272">
    <w:name w:val="页码"/>
    <w:basedOn w:val="1207"/>
    <w:next w:val="1272"/>
    <w:link w:val="1197"/>
    <w:qFormat/>
  </w:style>
  <w:style w:type="character" w:styleId="1273">
    <w:name w:val="已访问的超链接"/>
    <w:basedOn w:val="1207"/>
    <w:next w:val="1273"/>
    <w:link w:val="1197"/>
    <w:qFormat/>
    <w:rPr>
      <w:color w:val="333333"/>
      <w:u w:val="none"/>
    </w:rPr>
  </w:style>
  <w:style w:type="character" w:styleId="1274">
    <w:name w:val="强调"/>
    <w:next w:val="1274"/>
    <w:link w:val="1197"/>
    <w:qFormat/>
    <w:rPr>
      <w:color w:val="cc0033"/>
    </w:rPr>
  </w:style>
  <w:style w:type="character" w:styleId="1275">
    <w:name w:val="超链接"/>
    <w:basedOn w:val="1207"/>
    <w:next w:val="1275"/>
    <w:link w:val="1197"/>
    <w:uiPriority w:val="99"/>
    <w:qFormat/>
    <w:rPr>
      <w:color w:val="333333"/>
      <w:u w:val="none"/>
    </w:rPr>
  </w:style>
  <w:style w:type="character" w:styleId="1276">
    <w:name w:val="批注引用"/>
    <w:next w:val="1276"/>
    <w:link w:val="1197"/>
    <w:uiPriority w:val="99"/>
    <w:qFormat/>
    <w:rPr>
      <w:sz w:val="21"/>
      <w:szCs w:val="21"/>
    </w:rPr>
  </w:style>
  <w:style w:type="character" w:styleId="1277">
    <w:name w:val="HTML 引文"/>
    <w:next w:val="1277"/>
    <w:link w:val="1197"/>
    <w:qFormat/>
    <w:rPr>
      <w:i/>
      <w:iCs/>
    </w:rPr>
  </w:style>
  <w:style w:type="paragraph" w:styleId="1278">
    <w:name w:val="首行缩进"/>
    <w:basedOn w:val="1197"/>
    <w:next w:val="1278"/>
    <w:link w:val="1197"/>
    <w:qFormat/>
    <w:pPr>
      <w:ind w:firstLine="480"/>
    </w:pPr>
    <w:rPr>
      <w:lang w:val="zh-CN"/>
    </w:rPr>
  </w:style>
  <w:style w:type="paragraph" w:styleId="1279">
    <w:name w:val="样式 标题 1 + 宋体 居中 段前: 17 磅 段后: 16.5 磅"/>
    <w:basedOn w:val="1280"/>
    <w:next w:val="1279"/>
    <w:link w:val="1197"/>
    <w:qFormat/>
    <w:pPr>
      <w:ind w:left="840" w:hanging="420"/>
      <w:pageBreakBefore/>
      <w:widowControl/>
      <w:tabs>
        <w:tab w:val="left" w:pos="840" w:leader="none"/>
      </w:tabs>
    </w:pPr>
    <w:rPr>
      <w:rFonts w:ascii="华文中宋" w:hAnsi="华文中宋" w:eastAsia="华文中宋" w:cs="宋体"/>
      <w:sz w:val="28"/>
      <w:szCs w:val="20"/>
    </w:rPr>
  </w:style>
  <w:style w:type="paragraph" w:styleId="1280">
    <w:name w:val="标题 11"/>
    <w:basedOn w:val="1197"/>
    <w:next w:val="1197"/>
    <w:link w:val="1197"/>
    <w:qFormat/>
    <w:pPr>
      <w:jc w:val="center"/>
      <w:keepLines/>
      <w:keepNext/>
      <w:spacing w:before="240" w:after="120" w:line="300" w:lineRule="auto"/>
      <w:outlineLvl w:val="0"/>
    </w:pPr>
    <w:rPr>
      <w:rFonts w:ascii="宋体"/>
      <w:b/>
      <w:sz w:val="32"/>
      <w:szCs w:val="20"/>
    </w:rPr>
  </w:style>
  <w:style w:type="paragraph" w:styleId="1281">
    <w:name w:val="Default"/>
    <w:next w:val="1281"/>
    <w:link w:val="1197"/>
    <w:qFormat/>
    <w:pPr>
      <w:widowControl w:val="off"/>
    </w:pPr>
    <w:rPr>
      <w:rFonts w:ascii="Symbol" w:hAnsi="Symbol" w:cs="Symbol"/>
      <w:color w:val="000000"/>
      <w:sz w:val="24"/>
      <w:szCs w:val="24"/>
      <w:lang w:val="en-US" w:eastAsia="zh-CN" w:bidi="ar-SA"/>
    </w:rPr>
  </w:style>
  <w:style w:type="paragraph" w:styleId="1282">
    <w:name w:val="段"/>
    <w:next w:val="1282"/>
    <w:link w:val="1197"/>
    <w:qFormat/>
    <w:pPr>
      <w:ind w:firstLine="200"/>
      <w:jc w:val="both"/>
    </w:pPr>
    <w:rPr>
      <w:rFonts w:ascii="宋体" w:hAnsi="Calibri" w:eastAsia="宋体" w:cs="Times New Roman"/>
      <w:sz w:val="21"/>
      <w:lang w:val="en-US" w:eastAsia="zh-CN" w:bidi="ar-SA"/>
    </w:rPr>
  </w:style>
  <w:style w:type="character" w:styleId="1283">
    <w:name w:val="c21"/>
    <w:next w:val="1283"/>
    <w:link w:val="1197"/>
    <w:qFormat/>
    <w:rPr>
      <w:rFonts w:ascii="ˎ̥" w:hAnsi="ˎ̥"/>
      <w:color w:val="000000"/>
      <w:sz w:val="20"/>
      <w:szCs w:val="20"/>
      <w:u w:val="none"/>
    </w:rPr>
  </w:style>
  <w:style w:type="character" w:styleId="1284">
    <w:name w:val="title4"/>
    <w:next w:val="1284"/>
    <w:link w:val="1197"/>
    <w:qFormat/>
    <w:rPr>
      <w:b/>
      <w:bCs/>
      <w:color w:val="1d87b3"/>
      <w:sz w:val="15"/>
      <w:szCs w:val="15"/>
    </w:rPr>
  </w:style>
  <w:style w:type="character" w:styleId="1285">
    <w:name w:val="标题 2 Char Char"/>
    <w:next w:val="1285"/>
    <w:link w:val="1197"/>
    <w:qFormat/>
    <w:rPr>
      <w:rFonts w:ascii="Arial" w:hAnsi="Arial" w:eastAsia="黑体"/>
      <w:b/>
      <w:bCs/>
      <w:sz w:val="32"/>
      <w:szCs w:val="32"/>
      <w:lang w:val="en-US" w:eastAsia="zh-CN" w:bidi="ar-SA"/>
    </w:rPr>
  </w:style>
  <w:style w:type="character" w:styleId="1286">
    <w:name w:val="black1"/>
    <w:next w:val="1286"/>
    <w:link w:val="1197"/>
    <w:qFormat/>
    <w:rPr>
      <w:color w:val="000000"/>
    </w:rPr>
  </w:style>
  <w:style w:type="character" w:styleId="1287">
    <w:name w:val="street-address"/>
    <w:basedOn w:val="1207"/>
    <w:next w:val="1287"/>
    <w:link w:val="1197"/>
    <w:qFormat/>
  </w:style>
  <w:style w:type="character" w:styleId="1288">
    <w:name w:val="locality"/>
    <w:basedOn w:val="1207"/>
    <w:next w:val="1288"/>
    <w:link w:val="1197"/>
    <w:qFormat/>
  </w:style>
  <w:style w:type="character" w:styleId="1289">
    <w:name w:val="正文文本缩进 Char1"/>
    <w:next w:val="1289"/>
    <w:link w:val="1290"/>
    <w:qFormat/>
    <w:rPr>
      <w:rFonts w:ascii="宋体" w:hAnsi="宋体" w:eastAsia="宋体"/>
      <w:sz w:val="24"/>
      <w:szCs w:val="24"/>
      <w:lang w:bidi="ar-SA"/>
    </w:rPr>
  </w:style>
  <w:style w:type="paragraph" w:styleId="1290">
    <w:name w:val="正文文本缩进1"/>
    <w:basedOn w:val="1197"/>
    <w:next w:val="1290"/>
    <w:link w:val="1289"/>
    <w:qFormat/>
    <w:pPr>
      <w:ind w:firstLine="480"/>
      <w:spacing w:line="480" w:lineRule="exact"/>
    </w:pPr>
    <w:rPr>
      <w:rFonts w:ascii="宋体" w:hAnsi="宋体"/>
      <w:sz w:val="24"/>
    </w:rPr>
  </w:style>
  <w:style w:type="character" w:styleId="1291">
    <w:name w:val="Char Char11"/>
    <w:next w:val="1291"/>
    <w:link w:val="1197"/>
    <w:qFormat/>
    <w:rPr>
      <w:rFonts w:ascii="宋体" w:eastAsia="宋体"/>
      <w:b/>
      <w:sz w:val="24"/>
      <w:u w:val="single"/>
      <w:lang w:val="en-US" w:eastAsia="zh-CN" w:bidi="ar-SA"/>
    </w:rPr>
  </w:style>
  <w:style w:type="character" w:styleId="1292">
    <w:name w:val="txt"/>
    <w:basedOn w:val="1207"/>
    <w:next w:val="1292"/>
    <w:link w:val="1197"/>
    <w:qFormat/>
  </w:style>
  <w:style w:type="character" w:styleId="1293">
    <w:name w:val="正文缩进 Char Char"/>
    <w:next w:val="1293"/>
    <w:link w:val="1294"/>
    <w:qFormat/>
    <w:rPr>
      <w:rFonts w:ascii="宋体" w:eastAsia="宋体"/>
      <w:color w:val="000000"/>
      <w:sz w:val="28"/>
      <w:lang w:bidi="ar-SA"/>
    </w:rPr>
  </w:style>
  <w:style w:type="paragraph" w:styleId="1294">
    <w:name w:val="正文缩进1"/>
    <w:basedOn w:val="1197"/>
    <w:next w:val="1294"/>
    <w:link w:val="1293"/>
    <w:qFormat/>
    <w:pPr>
      <w:ind w:firstLine="567"/>
      <w:spacing w:line="480" w:lineRule="exact"/>
      <w:widowControl/>
    </w:pPr>
    <w:rPr>
      <w:rFonts w:ascii="宋体"/>
      <w:color w:val="000000"/>
      <w:sz w:val="28"/>
      <w:szCs w:val="20"/>
    </w:rPr>
  </w:style>
  <w:style w:type="character" w:styleId="1295">
    <w:name w:val="普通文字1 Char1"/>
    <w:next w:val="1295"/>
    <w:link w:val="1197"/>
    <w:qFormat/>
    <w:rPr>
      <w:rFonts w:ascii="宋体" w:hAnsi="Courier New" w:eastAsia="宋体"/>
      <w:sz w:val="21"/>
      <w:lang w:val="en-US" w:eastAsia="zh-CN" w:bidi="ar-SA"/>
    </w:rPr>
  </w:style>
  <w:style w:type="character" w:styleId="1296">
    <w:name w:val="chanpin1"/>
    <w:next w:val="1296"/>
    <w:link w:val="1197"/>
    <w:qFormat/>
    <w:rPr>
      <w:rFonts w:ascii="ˎ̥" w:hAnsi="ˎ̥"/>
      <w:color w:val="000000"/>
      <w:sz w:val="20"/>
      <w:szCs w:val="20"/>
      <w:u w:val="none"/>
    </w:rPr>
  </w:style>
  <w:style w:type="character" w:styleId="1297">
    <w:name w:val="列出段落 Char1"/>
    <w:next w:val="1297"/>
    <w:link w:val="1298"/>
    <w:uiPriority w:val="34"/>
    <w:qFormat/>
    <w:rPr>
      <w:rFonts w:ascii="Calibri" w:hAnsi="Calibri" w:eastAsia="宋体"/>
      <w:sz w:val="21"/>
      <w:szCs w:val="22"/>
      <w:lang w:val="en-US" w:eastAsia="zh-CN" w:bidi="ar-SA"/>
    </w:rPr>
  </w:style>
  <w:style w:type="paragraph" w:styleId="1298">
    <w:name w:val="列出段落"/>
    <w:basedOn w:val="1197"/>
    <w:next w:val="1298"/>
    <w:link w:val="1297"/>
    <w:uiPriority w:val="34"/>
    <w:qFormat/>
    <w:pPr>
      <w:ind w:firstLine="420"/>
    </w:pPr>
    <w:rPr>
      <w:rFonts w:ascii="Calibri" w:hAnsi="Calibri"/>
      <w:szCs w:val="22"/>
    </w:rPr>
  </w:style>
  <w:style w:type="character" w:styleId="1299">
    <w:name w:val="标题 3 Char Char"/>
    <w:next w:val="1299"/>
    <w:link w:val="1197"/>
    <w:qFormat/>
    <w:rPr>
      <w:rFonts w:eastAsia="宋体"/>
      <w:b/>
      <w:bCs/>
      <w:sz w:val="32"/>
      <w:szCs w:val="32"/>
      <w:lang w:val="en-US" w:eastAsia="zh-CN" w:bidi="ar-SA"/>
    </w:rPr>
  </w:style>
  <w:style w:type="character" w:styleId="1300">
    <w:name w:val="段1 Char"/>
    <w:next w:val="1300"/>
    <w:link w:val="1197"/>
    <w:qFormat/>
    <w:rPr>
      <w:rFonts w:ascii="宋体" w:eastAsia="宋体"/>
      <w:sz w:val="24"/>
      <w:lang w:val="en-US" w:eastAsia="zh-CN" w:bidi="ar-SA"/>
    </w:rPr>
  </w:style>
  <w:style w:type="character" w:styleId="1301">
    <w:name w:val="chanpin拷贝"/>
    <w:basedOn w:val="1207"/>
    <w:next w:val="1301"/>
    <w:link w:val="1197"/>
    <w:qFormat/>
  </w:style>
  <w:style w:type="character" w:styleId="1302">
    <w:name w:val="纯文本 Char1"/>
    <w:next w:val="1302"/>
    <w:link w:val="1197"/>
    <w:qFormat/>
    <w:rPr>
      <w:rFonts w:ascii="宋体" w:hAnsi="Courier New" w:eastAsia="宋体"/>
      <w:sz w:val="21"/>
      <w:lang w:val="en-US" w:eastAsia="zh-CN" w:bidi="ar-SA"/>
    </w:rPr>
  </w:style>
  <w:style w:type="character" w:styleId="1303">
    <w:name w:val="apple-style-span"/>
    <w:next w:val="1303"/>
    <w:link w:val="1197"/>
    <w:qFormat/>
    <w:rPr>
      <w:rFonts w:cs="Times New Roman"/>
    </w:rPr>
  </w:style>
  <w:style w:type="paragraph" w:styleId="1304">
    <w:name w:val="二级条标题"/>
    <w:basedOn w:val="1305"/>
    <w:next w:val="1197"/>
    <w:link w:val="1197"/>
    <w:qFormat/>
    <w:pPr>
      <w:numPr>
        <w:ilvl w:val="0"/>
        <w:numId w:val="0"/>
      </w:numPr>
      <w:ind w:hanging="840"/>
      <w:tabs>
        <w:tab w:val="left" w:pos="360" w:leader="none"/>
        <w:tab w:val="left" w:pos="840" w:leader="none"/>
      </w:tabs>
      <w:outlineLvl w:val="2"/>
    </w:pPr>
    <w:rPr>
      <w:rFonts w:ascii="宋体" w:eastAsia="宋体"/>
      <w:b w:val="0"/>
    </w:rPr>
  </w:style>
  <w:style w:type="paragraph" w:styleId="1305">
    <w:name w:val="一级条标题"/>
    <w:basedOn w:val="1306"/>
    <w:next w:val="1197"/>
    <w:link w:val="1197"/>
    <w:qFormat/>
    <w:pPr>
      <w:numPr>
        <w:ilvl w:val="1"/>
      </w:numPr>
      <w:ind w:left="0" w:hanging="840"/>
      <w:tabs>
        <w:tab w:val="left" w:pos="360" w:leader="none"/>
        <w:tab w:val="left" w:pos="840" w:leader="none"/>
      </w:tabs>
      <w:outlineLvl w:val="1"/>
    </w:pPr>
  </w:style>
  <w:style w:type="paragraph" w:styleId="1306">
    <w:name w:val="章标题"/>
    <w:next w:val="1197"/>
    <w:link w:val="119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07">
    <w:name w:val="font7"/>
    <w:basedOn w:val="1197"/>
    <w:next w:val="1307"/>
    <w:link w:val="1197"/>
    <w:qFormat/>
    <w:pPr>
      <w:jc w:val="left"/>
      <w:spacing w:before="100" w:beforeAutospacing="1" w:after="100" w:afterAutospacing="1"/>
      <w:widowControl/>
    </w:pPr>
    <w:rPr>
      <w:rFonts w:eastAsia="Arial Unicode MS"/>
      <w:b/>
      <w:bCs/>
      <w:color w:val="000000"/>
      <w:sz w:val="20"/>
      <w:szCs w:val="20"/>
    </w:rPr>
  </w:style>
  <w:style w:type="paragraph" w:styleId="1308">
    <w:name w:val="字元 字元"/>
    <w:basedOn w:val="1197"/>
    <w:next w:val="1308"/>
    <w:link w:val="1197"/>
    <w:qFormat/>
    <w:rPr>
      <w:rFonts w:ascii="Tahoma" w:hAnsi="Tahoma"/>
      <w:sz w:val="24"/>
      <w:szCs w:val="20"/>
    </w:rPr>
  </w:style>
  <w:style w:type="paragraph" w:styleId="1309">
    <w:name w:val="Char3 Char Char Char"/>
    <w:basedOn w:val="1197"/>
    <w:next w:val="1309"/>
    <w:link w:val="1197"/>
    <w:qFormat/>
    <w:rPr>
      <w:rFonts w:ascii="Tahoma" w:hAnsi="Tahoma"/>
      <w:sz w:val="24"/>
      <w:szCs w:val="20"/>
    </w:rPr>
  </w:style>
  <w:style w:type="paragraph" w:styleId="1310">
    <w:name w:val="font6"/>
    <w:basedOn w:val="1197"/>
    <w:next w:val="1310"/>
    <w:link w:val="1197"/>
    <w:qFormat/>
    <w:pPr>
      <w:jc w:val="left"/>
      <w:spacing w:before="100" w:beforeAutospacing="1" w:after="100" w:afterAutospacing="1"/>
      <w:widowControl/>
    </w:pPr>
    <w:rPr>
      <w:rFonts w:ascii="宋体" w:hAnsi="宋体" w:cs="宋体"/>
      <w:sz w:val="20"/>
      <w:szCs w:val="20"/>
    </w:rPr>
  </w:style>
  <w:style w:type="paragraph" w:styleId="1311">
    <w:name w:val="项目编号2"/>
    <w:basedOn w:val="1312"/>
    <w:next w:val="1311"/>
    <w:link w:val="1197"/>
    <w:qFormat/>
    <w:pPr>
      <w:numPr>
        <w:numId w:val="3"/>
      </w:numPr>
    </w:pPr>
  </w:style>
  <w:style w:type="paragraph" w:styleId="1312">
    <w:name w:val="项目编号1"/>
    <w:basedOn w:val="1197"/>
    <w:next w:val="1312"/>
    <w:link w:val="1197"/>
    <w:qFormat/>
    <w:pPr>
      <w:numPr>
        <w:ilvl w:val="0"/>
        <w:numId w:val="2"/>
      </w:numPr>
      <w:spacing w:before="100" w:beforeAutospacing="1" w:after="100" w:afterAutospacing="1" w:line="360" w:lineRule="auto"/>
    </w:pPr>
    <w:rPr>
      <w:sz w:val="24"/>
    </w:rPr>
  </w:style>
  <w:style w:type="paragraph" w:styleId="1313">
    <w:name w:val="图中文字"/>
    <w:basedOn w:val="1197"/>
    <w:next w:val="1313"/>
    <w:link w:val="1197"/>
    <w:qFormat/>
    <w:pPr>
      <w:jc w:val="center"/>
      <w:spacing w:line="0" w:lineRule="atLeast"/>
    </w:pPr>
    <w:rPr>
      <w:sz w:val="24"/>
      <w:szCs w:val="20"/>
    </w:rPr>
  </w:style>
  <w:style w:type="paragraph" w:styleId="1314">
    <w:name w:val="xl46"/>
    <w:basedOn w:val="1197"/>
    <w:next w:val="1314"/>
    <w:link w:val="119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5">
    <w:name w:val="xl25"/>
    <w:basedOn w:val="1197"/>
    <w:next w:val="1315"/>
    <w:link w:val="11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6">
    <w:name w:val="Char2"/>
    <w:basedOn w:val="1197"/>
    <w:next w:val="1316"/>
    <w:link w:val="1197"/>
    <w:qFormat/>
    <w:rPr>
      <w:rFonts w:ascii="Tahoma" w:hAnsi="Tahoma"/>
      <w:sz w:val="24"/>
      <w:szCs w:val="20"/>
    </w:rPr>
  </w:style>
  <w:style w:type="paragraph" w:styleId="1317">
    <w:name w:val="xl35"/>
    <w:basedOn w:val="1197"/>
    <w:next w:val="1317"/>
    <w:link w:val="11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8">
    <w:name w:val="xl40"/>
    <w:basedOn w:val="1197"/>
    <w:next w:val="1318"/>
    <w:link w:val="11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9">
    <w:name w:val="xl52"/>
    <w:basedOn w:val="1197"/>
    <w:next w:val="1319"/>
    <w:link w:val="11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20">
    <w:name w:val="xl43"/>
    <w:basedOn w:val="1197"/>
    <w:next w:val="1320"/>
    <w:link w:val="11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1">
    <w:name w:val="background1"/>
    <w:basedOn w:val="1197"/>
    <w:next w:val="1321"/>
    <w:link w:val="1197"/>
    <w:qFormat/>
    <w:pPr>
      <w:jc w:val="left"/>
      <w:spacing w:before="100" w:beforeAutospacing="1" w:after="100" w:afterAutospacing="1"/>
      <w:widowControl/>
    </w:pPr>
    <w:rPr>
      <w:rFonts w:ascii="宋体" w:hAnsi="宋体" w:cs="宋体"/>
      <w:sz w:val="24"/>
    </w:rPr>
  </w:style>
  <w:style w:type="paragraph" w:styleId="1322">
    <w:name w:val="Char Char Char Char Char Char Char"/>
    <w:basedOn w:val="1197"/>
    <w:next w:val="1322"/>
    <w:link w:val="1197"/>
    <w:qFormat/>
    <w:pPr>
      <w:ind w:firstLine="200"/>
      <w:spacing w:line="360" w:lineRule="auto"/>
    </w:pPr>
    <w:rPr>
      <w:rFonts w:eastAsia="仿宋_GB2312"/>
      <w:sz w:val="24"/>
    </w:rPr>
  </w:style>
  <w:style w:type="paragraph" w:styleId="1323">
    <w:name w:val="xl38"/>
    <w:basedOn w:val="1197"/>
    <w:next w:val="1323"/>
    <w:link w:val="11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24">
    <w:name w:val="xl36"/>
    <w:basedOn w:val="1197"/>
    <w:next w:val="1324"/>
    <w:link w:val="119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5">
    <w:name w:val="正文 + 宋体"/>
    <w:basedOn w:val="1197"/>
    <w:next w:val="1325"/>
    <w:link w:val="1197"/>
    <w:qFormat/>
    <w:pPr>
      <w:ind w:left="360" w:hanging="360"/>
      <w:jc w:val="left"/>
      <w:widowControl/>
    </w:pPr>
    <w:rPr>
      <w:rFonts w:ascii="宋体" w:hAnsi="宋体" w:cs="宋体"/>
      <w:b/>
      <w:bCs/>
      <w:color w:val="000000"/>
      <w:sz w:val="18"/>
      <w:szCs w:val="18"/>
    </w:rPr>
  </w:style>
  <w:style w:type="paragraph" w:styleId="1326">
    <w:name w:val="正文列项_数字"/>
    <w:basedOn w:val="1197"/>
    <w:next w:val="1326"/>
    <w:link w:val="1197"/>
    <w:qFormat/>
    <w:pPr>
      <w:numPr>
        <w:ilvl w:val="7"/>
        <w:numId w:val="1"/>
      </w:numPr>
      <w:ind w:left="680" w:hanging="150"/>
      <w:spacing w:line="460" w:lineRule="exact"/>
      <w:tabs>
        <w:tab w:val="clear" w:pos="860" w:leader="none"/>
      </w:tabs>
      <w:outlineLvl w:val="7"/>
    </w:pPr>
    <w:rPr>
      <w:rFonts w:ascii="宋体"/>
      <w:sz w:val="28"/>
      <w:szCs w:val="20"/>
    </w:rPr>
  </w:style>
  <w:style w:type="paragraph" w:styleId="1327">
    <w:name w:val="xl39"/>
    <w:basedOn w:val="1197"/>
    <w:next w:val="1327"/>
    <w:link w:val="11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8">
    <w:name w:val="xl37"/>
    <w:basedOn w:val="1197"/>
    <w:next w:val="1328"/>
    <w:link w:val="11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9">
    <w:name w:val="xl32"/>
    <w:basedOn w:val="1197"/>
    <w:next w:val="1329"/>
    <w:link w:val="11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0">
    <w:name w:val="font8"/>
    <w:basedOn w:val="1197"/>
    <w:next w:val="1330"/>
    <w:link w:val="1197"/>
    <w:qFormat/>
    <w:pPr>
      <w:jc w:val="left"/>
      <w:spacing w:before="100" w:beforeAutospacing="1" w:after="100" w:afterAutospacing="1"/>
      <w:widowControl/>
    </w:pPr>
    <w:rPr>
      <w:sz w:val="36"/>
      <w:szCs w:val="36"/>
    </w:rPr>
  </w:style>
  <w:style w:type="paragraph" w:styleId="1331">
    <w:name w:val="Char"/>
    <w:basedOn w:val="1197"/>
    <w:next w:val="1331"/>
    <w:link w:val="1197"/>
    <w:qFormat/>
    <w:pPr>
      <w:tabs>
        <w:tab w:val="left" w:pos="360" w:leader="none"/>
      </w:tabs>
    </w:pPr>
    <w:rPr>
      <w:sz w:val="24"/>
    </w:rPr>
  </w:style>
  <w:style w:type="paragraph" w:styleId="1332">
    <w:name w:val="Char Char Char Char Char Char Char Char Char Char Char Char Char Char Char Char"/>
    <w:basedOn w:val="1197"/>
    <w:next w:val="1332"/>
    <w:link w:val="1197"/>
    <w:qFormat/>
    <w:pPr>
      <w:jc w:val="center"/>
      <w:spacing w:after="160" w:line="240" w:lineRule="exact"/>
      <w:widowControl/>
    </w:pPr>
    <w:rPr>
      <w:rFonts w:ascii="宋体" w:hAnsi="宋体"/>
      <w:b/>
      <w:sz w:val="30"/>
      <w:szCs w:val="30"/>
      <w:lang w:eastAsia="en-US"/>
    </w:rPr>
  </w:style>
  <w:style w:type="paragraph" w:styleId="1333">
    <w:name w:val="xl45"/>
    <w:basedOn w:val="1197"/>
    <w:next w:val="1333"/>
    <w:link w:val="11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4">
    <w:name w:val="Char Char1 Char Char Char Char Char Char"/>
    <w:basedOn w:val="1197"/>
    <w:next w:val="1334"/>
    <w:link w:val="1197"/>
    <w:qFormat/>
    <w:pPr>
      <w:jc w:val="left"/>
      <w:spacing w:after="160" w:line="240" w:lineRule="exact"/>
      <w:widowControl/>
    </w:pPr>
    <w:rPr>
      <w:rFonts w:ascii="Verdana" w:hAnsi="Verdana" w:eastAsia="仿宋_GB2312"/>
      <w:sz w:val="24"/>
      <w:szCs w:val="20"/>
      <w:lang w:eastAsia="en-US"/>
    </w:rPr>
  </w:style>
  <w:style w:type="paragraph" w:styleId="1335">
    <w:name w:val="Char Char1"/>
    <w:basedOn w:val="1223"/>
    <w:next w:val="1335"/>
    <w:link w:val="1197"/>
    <w:qFormat/>
    <w:rPr>
      <w:rFonts w:ascii="Tahoma" w:hAnsi="Tahoma"/>
      <w:sz w:val="24"/>
    </w:rPr>
  </w:style>
  <w:style w:type="paragraph" w:styleId="1336">
    <w:name w:val="xl26"/>
    <w:basedOn w:val="1197"/>
    <w:next w:val="1336"/>
    <w:link w:val="11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37">
    <w:name w:val="xl30"/>
    <w:basedOn w:val="1197"/>
    <w:next w:val="1337"/>
    <w:link w:val="11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8">
    <w:name w:val="xl41"/>
    <w:basedOn w:val="1197"/>
    <w:next w:val="1338"/>
    <w:link w:val="119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39">
    <w:name w:val="样式 宋体 五号 行距: 单倍行距"/>
    <w:basedOn w:val="1197"/>
    <w:next w:val="1339"/>
    <w:link w:val="1197"/>
    <w:qFormat/>
    <w:pPr>
      <w:jc w:val="left"/>
    </w:pPr>
    <w:rPr>
      <w:rFonts w:ascii="宋体" w:hAnsi="宋体"/>
      <w:szCs w:val="20"/>
    </w:rPr>
  </w:style>
  <w:style w:type="paragraph" w:styleId="1340">
    <w:name w:val="Char1 Char Char Char1"/>
    <w:basedOn w:val="1197"/>
    <w:next w:val="1340"/>
    <w:link w:val="1197"/>
    <w:qFormat/>
    <w:rPr>
      <w:rFonts w:ascii="Tahoma" w:hAnsi="Tahoma" w:cs="仿宋_GB2312"/>
      <w:sz w:val="24"/>
      <w:szCs w:val="28"/>
    </w:rPr>
  </w:style>
  <w:style w:type="paragraph" w:styleId="1341">
    <w:name w:val="四级条标题"/>
    <w:basedOn w:val="1342"/>
    <w:next w:val="1197"/>
    <w:link w:val="1197"/>
    <w:qFormat/>
    <w:pPr>
      <w:numPr>
        <w:ilvl w:val="4"/>
      </w:numPr>
      <w:ind w:left="0" w:hanging="840"/>
      <w:tabs>
        <w:tab w:val="left" w:pos="360" w:leader="none"/>
        <w:tab w:val="left" w:pos="840" w:leader="none"/>
      </w:tabs>
      <w:outlineLvl w:val="4"/>
    </w:pPr>
  </w:style>
  <w:style w:type="paragraph" w:styleId="1342">
    <w:name w:val="三级条标题"/>
    <w:basedOn w:val="1304"/>
    <w:next w:val="1197"/>
    <w:link w:val="1197"/>
    <w:qFormat/>
    <w:pPr>
      <w:numPr>
        <w:ilvl w:val="3"/>
        <w:numId w:val="1"/>
      </w:numPr>
      <w:ind w:left="0" w:hanging="840"/>
      <w:tabs>
        <w:tab w:val="left" w:pos="360" w:leader="none"/>
        <w:tab w:val="left" w:pos="840" w:leader="none"/>
      </w:tabs>
      <w:outlineLvl w:val="3"/>
    </w:pPr>
  </w:style>
  <w:style w:type="paragraph" w:styleId="1343">
    <w:name w:val="??"/>
    <w:next w:val="1343"/>
    <w:link w:val="1197"/>
    <w:qFormat/>
    <w:pPr>
      <w:jc w:val="both"/>
      <w:widowControl w:val="off"/>
    </w:pPr>
    <w:rPr>
      <w:sz w:val="21"/>
      <w:lang w:val="en-US" w:eastAsia="en-US" w:bidi="ar-SA"/>
    </w:rPr>
  </w:style>
  <w:style w:type="paragraph" w:styleId="1344">
    <w:name w:val="样式 标题 2 + 宋体 五号 行距: 单倍行距"/>
    <w:basedOn w:val="1199"/>
    <w:next w:val="1344"/>
    <w:link w:val="119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45">
    <w:name w:val="List Paragraph1"/>
    <w:basedOn w:val="1197"/>
    <w:next w:val="1345"/>
    <w:link w:val="1197"/>
    <w:qFormat/>
    <w:pPr>
      <w:ind w:firstLine="420"/>
    </w:pPr>
    <w:rPr>
      <w:rFonts w:ascii="Calibri" w:hAnsi="Calibri"/>
      <w:szCs w:val="22"/>
    </w:rPr>
  </w:style>
  <w:style w:type="paragraph" w:styleId="1346">
    <w:name w:val="项目符号1"/>
    <w:basedOn w:val="1347"/>
    <w:next w:val="1346"/>
    <w:link w:val="1197"/>
    <w:qFormat/>
    <w:pPr>
      <w:ind w:left="-25" w:firstLine="0"/>
    </w:pPr>
  </w:style>
  <w:style w:type="paragraph" w:styleId="1347">
    <w:name w:val="正文文本样式"/>
    <w:basedOn w:val="1197"/>
    <w:next w:val="1347"/>
    <w:link w:val="1197"/>
    <w:qFormat/>
    <w:pPr>
      <w:ind w:firstLine="482"/>
      <w:spacing w:line="360" w:lineRule="auto"/>
    </w:pPr>
    <w:rPr>
      <w:rFonts w:cs="宋体"/>
      <w:sz w:val="24"/>
      <w:szCs w:val="20"/>
    </w:rPr>
  </w:style>
  <w:style w:type="paragraph" w:styleId="1348">
    <w:name w:val="xl27"/>
    <w:basedOn w:val="1197"/>
    <w:next w:val="1348"/>
    <w:link w:val="11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9">
    <w:name w:val="font5"/>
    <w:basedOn w:val="1197"/>
    <w:next w:val="1349"/>
    <w:link w:val="1197"/>
    <w:qFormat/>
    <w:pPr>
      <w:jc w:val="left"/>
      <w:spacing w:before="100" w:beforeAutospacing="1" w:after="100" w:afterAutospacing="1"/>
      <w:widowControl/>
    </w:pPr>
    <w:rPr>
      <w:rFonts w:ascii="宋体" w:hAnsi="宋体" w:cs="宋体"/>
      <w:sz w:val="18"/>
      <w:szCs w:val="18"/>
    </w:rPr>
  </w:style>
  <w:style w:type="paragraph" w:styleId="1350">
    <w:name w:val="五级条标题"/>
    <w:basedOn w:val="1341"/>
    <w:next w:val="1197"/>
    <w:link w:val="1197"/>
    <w:qFormat/>
    <w:pPr>
      <w:numPr>
        <w:ilvl w:val="5"/>
      </w:numPr>
      <w:ind w:left="0" w:hanging="840"/>
      <w:tabs>
        <w:tab w:val="left" w:pos="360" w:leader="none"/>
        <w:tab w:val="left" w:pos="840" w:leader="none"/>
      </w:tabs>
      <w:outlineLvl w:val="5"/>
    </w:pPr>
  </w:style>
  <w:style w:type="paragraph" w:styleId="1351">
    <w:name w:val="xl49"/>
    <w:basedOn w:val="1197"/>
    <w:next w:val="1351"/>
    <w:link w:val="11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52">
    <w:name w:val="文档正文"/>
    <w:basedOn w:val="1197"/>
    <w:next w:val="1352"/>
    <w:link w:val="1197"/>
    <w:qFormat/>
    <w:pPr>
      <w:spacing w:before="120" w:after="120" w:line="180" w:lineRule="auto"/>
    </w:pPr>
    <w:rPr>
      <w:rFonts w:ascii="Arial" w:hAnsi="Arial"/>
      <w:szCs w:val="20"/>
    </w:rPr>
  </w:style>
  <w:style w:type="paragraph" w:styleId="1353">
    <w:name w:val="xl33"/>
    <w:basedOn w:val="1197"/>
    <w:next w:val="1353"/>
    <w:link w:val="11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4">
    <w:name w:val="xl42"/>
    <w:basedOn w:val="1197"/>
    <w:next w:val="1354"/>
    <w:link w:val="11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55">
    <w:name w:val="Char Char Char1 Char"/>
    <w:basedOn w:val="1197"/>
    <w:next w:val="1355"/>
    <w:link w:val="1197"/>
    <w:qFormat/>
    <w:rPr>
      <w:rFonts w:ascii="Tahoma" w:hAnsi="Tahoma"/>
      <w:sz w:val="24"/>
      <w:szCs w:val="20"/>
    </w:rPr>
  </w:style>
  <w:style w:type="paragraph" w:styleId="1356">
    <w:name w:val="xl44"/>
    <w:basedOn w:val="1197"/>
    <w:next w:val="1356"/>
    <w:link w:val="11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57">
    <w:name w:val="1名"/>
    <w:basedOn w:val="1197"/>
    <w:next w:val="1357"/>
    <w:link w:val="1197"/>
    <w:qFormat/>
    <w:pPr>
      <w:numPr>
        <w:ilvl w:val="0"/>
        <w:numId w:val="5"/>
      </w:numPr>
      <w:spacing w:before="120"/>
      <w:tabs>
        <w:tab w:val="left" w:pos="360" w:leader="none"/>
      </w:tabs>
    </w:pPr>
    <w:rPr>
      <w:rFonts w:ascii="宋体"/>
      <w:sz w:val="28"/>
      <w:szCs w:val="20"/>
    </w:rPr>
  </w:style>
  <w:style w:type="paragraph" w:styleId="1358">
    <w:name w:val="font9"/>
    <w:basedOn w:val="1197"/>
    <w:next w:val="1358"/>
    <w:link w:val="1197"/>
    <w:qFormat/>
    <w:pPr>
      <w:jc w:val="left"/>
      <w:spacing w:before="100" w:beforeAutospacing="1" w:after="100" w:afterAutospacing="1"/>
      <w:widowControl/>
    </w:pPr>
    <w:rPr>
      <w:rFonts w:hint="eastAsia" w:ascii="宋体" w:hAnsi="宋体" w:cs="Arial Unicode MS"/>
      <w:color w:val="000000"/>
      <w:sz w:val="20"/>
      <w:szCs w:val="20"/>
    </w:rPr>
  </w:style>
  <w:style w:type="paragraph" w:styleId="1359">
    <w:name w:val="Char Char Char1 Char1"/>
    <w:basedOn w:val="1197"/>
    <w:next w:val="1359"/>
    <w:link w:val="1197"/>
    <w:qFormat/>
    <w:rPr>
      <w:rFonts w:ascii="Tahoma" w:hAnsi="Tahoma"/>
      <w:sz w:val="24"/>
      <w:szCs w:val="20"/>
    </w:rPr>
  </w:style>
  <w:style w:type="paragraph" w:styleId="1360">
    <w:name w:val="Char Char Char Char Char Char Char Char Char Char"/>
    <w:basedOn w:val="1197"/>
    <w:next w:val="1360"/>
    <w:link w:val="1197"/>
    <w:qFormat/>
  </w:style>
  <w:style w:type="paragraph" w:styleId="1361">
    <w:name w:val="Char Char1 Char Char Char Char Char Char Char Char"/>
    <w:basedOn w:val="1197"/>
    <w:next w:val="1361"/>
    <w:link w:val="1197"/>
    <w:qFormat/>
    <w:pPr>
      <w:jc w:val="left"/>
      <w:spacing w:after="160" w:line="240" w:lineRule="exact"/>
      <w:widowControl/>
    </w:pPr>
    <w:rPr>
      <w:rFonts w:ascii="Verdana" w:hAnsi="Verdana"/>
      <w:sz w:val="20"/>
      <w:szCs w:val="20"/>
      <w:lang w:eastAsia="en-US"/>
    </w:rPr>
  </w:style>
  <w:style w:type="paragraph" w:styleId="1362">
    <w:name w:val="Char1"/>
    <w:basedOn w:val="1197"/>
    <w:next w:val="1362"/>
    <w:link w:val="1197"/>
    <w:qFormat/>
    <w:pPr>
      <w:tabs>
        <w:tab w:val="left" w:pos="360" w:leader="none"/>
      </w:tabs>
    </w:pPr>
    <w:rPr>
      <w:sz w:val="24"/>
    </w:rPr>
  </w:style>
  <w:style w:type="paragraph" w:styleId="1363">
    <w:name w:val="正文列项_字母"/>
    <w:basedOn w:val="1197"/>
    <w:next w:val="1363"/>
    <w:link w:val="1197"/>
    <w:qFormat/>
    <w:pPr>
      <w:numPr>
        <w:ilvl w:val="6"/>
        <w:numId w:val="1"/>
      </w:numPr>
      <w:ind w:left="480" w:hanging="180"/>
      <w:spacing w:line="460" w:lineRule="exact"/>
      <w:tabs>
        <w:tab w:val="clear" w:pos="635" w:leader="none"/>
      </w:tabs>
      <w:outlineLvl w:val="6"/>
    </w:pPr>
    <w:rPr>
      <w:rFonts w:ascii="宋体"/>
      <w:sz w:val="28"/>
      <w:szCs w:val="20"/>
    </w:rPr>
  </w:style>
  <w:style w:type="paragraph" w:styleId="1364">
    <w:name w:val="xl28"/>
    <w:basedOn w:val="1197"/>
    <w:next w:val="1364"/>
    <w:link w:val="11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5">
    <w:name w:val="xl47"/>
    <w:basedOn w:val="1197"/>
    <w:next w:val="1365"/>
    <w:link w:val="11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6">
    <w:name w:val="默认段落字体 Para Char Char Char Char"/>
    <w:basedOn w:val="1197"/>
    <w:next w:val="1366"/>
    <w:link w:val="1197"/>
    <w:qFormat/>
    <w:rPr>
      <w:rFonts w:ascii="Arial" w:hAnsi="Arial" w:cs="Arial"/>
      <w:szCs w:val="21"/>
    </w:rPr>
  </w:style>
  <w:style w:type="paragraph" w:styleId="1367">
    <w:name w:val="xl48"/>
    <w:basedOn w:val="1197"/>
    <w:next w:val="1367"/>
    <w:link w:val="11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68">
    <w:name w:val="xl31"/>
    <w:basedOn w:val="1197"/>
    <w:next w:val="1368"/>
    <w:link w:val="11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9">
    <w:name w:val="xl53"/>
    <w:basedOn w:val="1197"/>
    <w:next w:val="1369"/>
    <w:link w:val="11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0">
    <w:name w:val="Char Char Char"/>
    <w:basedOn w:val="1197"/>
    <w:next w:val="1370"/>
    <w:link w:val="1197"/>
    <w:qFormat/>
    <w:rPr>
      <w:rFonts w:ascii="Tahoma" w:hAnsi="Tahoma"/>
      <w:sz w:val="24"/>
      <w:szCs w:val="20"/>
    </w:rPr>
  </w:style>
  <w:style w:type="paragraph" w:styleId="1371">
    <w:name w:val="xl50"/>
    <w:basedOn w:val="1197"/>
    <w:next w:val="1371"/>
    <w:link w:val="11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72">
    <w:name w:val="缺省文本"/>
    <w:basedOn w:val="1197"/>
    <w:next w:val="1372"/>
    <w:link w:val="1197"/>
    <w:qFormat/>
    <w:pPr>
      <w:jc w:val="left"/>
    </w:pPr>
    <w:rPr>
      <w:sz w:val="24"/>
    </w:rPr>
  </w:style>
  <w:style w:type="paragraph" w:styleId="1373">
    <w:name w:val="Char Char Char1"/>
    <w:basedOn w:val="1197"/>
    <w:next w:val="1373"/>
    <w:link w:val="1197"/>
    <w:qFormat/>
    <w:rPr>
      <w:rFonts w:ascii="Tahoma" w:hAnsi="Tahoma"/>
      <w:sz w:val="24"/>
      <w:szCs w:val="20"/>
    </w:rPr>
  </w:style>
  <w:style w:type="paragraph" w:styleId="1374">
    <w:name w:val="Char Char Char Char Char Char Char1"/>
    <w:basedOn w:val="1197"/>
    <w:next w:val="1374"/>
    <w:link w:val="1197"/>
    <w:qFormat/>
    <w:pPr>
      <w:ind w:firstLine="200"/>
      <w:spacing w:line="360" w:lineRule="auto"/>
    </w:pPr>
    <w:rPr>
      <w:rFonts w:eastAsia="仿宋_GB2312"/>
      <w:sz w:val="24"/>
    </w:rPr>
  </w:style>
  <w:style w:type="paragraph" w:styleId="1375">
    <w:name w:val="xl51"/>
    <w:basedOn w:val="1197"/>
    <w:next w:val="1375"/>
    <w:link w:val="11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6">
    <w:name w:val="样式2"/>
    <w:basedOn w:val="1260"/>
    <w:next w:val="1376"/>
    <w:link w:val="1197"/>
    <w:qFormat/>
    <w:pPr>
      <w:jc w:val="center"/>
      <w:spacing w:line="360" w:lineRule="auto"/>
    </w:pPr>
    <w:rPr>
      <w:sz w:val="24"/>
    </w:rPr>
  </w:style>
  <w:style w:type="paragraph" w:styleId="1377">
    <w:name w:val="xl24"/>
    <w:basedOn w:val="1197"/>
    <w:next w:val="1377"/>
    <w:link w:val="11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8">
    <w:name w:val="xl29"/>
    <w:basedOn w:val="1197"/>
    <w:next w:val="1378"/>
    <w:link w:val="11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79">
    <w:name w:val="正文 + 楷体_GB2312"/>
    <w:basedOn w:val="1197"/>
    <w:next w:val="1379"/>
    <w:link w:val="1197"/>
    <w:qFormat/>
    <w:pPr>
      <w:jc w:val="left"/>
      <w:widowControl/>
    </w:pPr>
    <w:rPr>
      <w:rFonts w:ascii="楷体_GB2312" w:eastAsia="楷体_GB2312" w:cs="Arial"/>
      <w:sz w:val="24"/>
    </w:rPr>
  </w:style>
  <w:style w:type="paragraph" w:styleId="1380">
    <w:name w:val="xl34"/>
    <w:basedOn w:val="1197"/>
    <w:next w:val="1380"/>
    <w:link w:val="11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81">
    <w:name w:val="1 Char Char Char Char"/>
    <w:basedOn w:val="1197"/>
    <w:next w:val="1381"/>
    <w:link w:val="1197"/>
    <w:qFormat/>
    <w:rPr>
      <w:rFonts w:ascii="Tahoma" w:hAnsi="Tahoma"/>
      <w:sz w:val="24"/>
      <w:szCs w:val="20"/>
    </w:rPr>
  </w:style>
  <w:style w:type="paragraph" w:styleId="1382">
    <w:name w:val="列出段落1"/>
    <w:basedOn w:val="1197"/>
    <w:next w:val="1382"/>
    <w:link w:val="1197"/>
    <w:qFormat/>
    <w:pPr>
      <w:ind w:firstLine="420"/>
    </w:pPr>
    <w:rPr>
      <w:rFonts w:ascii="Calibri" w:hAnsi="Calibri"/>
      <w:szCs w:val="22"/>
    </w:rPr>
  </w:style>
  <w:style w:type="paragraph" w:styleId="1383">
    <w:name w:val="default"/>
    <w:basedOn w:val="1197"/>
    <w:next w:val="1383"/>
    <w:link w:val="1197"/>
    <w:qFormat/>
    <w:pPr>
      <w:jc w:val="left"/>
      <w:spacing w:before="100" w:beforeAutospacing="1" w:after="100" w:afterAutospacing="1"/>
      <w:widowControl/>
    </w:pPr>
    <w:rPr>
      <w:rFonts w:ascii="宋体" w:hAnsi="宋体" w:cs="宋体"/>
      <w:sz w:val="24"/>
    </w:rPr>
  </w:style>
  <w:style w:type="paragraph" w:styleId="1384">
    <w:name w:val="字元 字元1"/>
    <w:basedOn w:val="1197"/>
    <w:next w:val="1384"/>
    <w:link w:val="1197"/>
    <w:qFormat/>
    <w:rPr>
      <w:rFonts w:ascii="Tahoma" w:hAnsi="Tahoma"/>
      <w:sz w:val="24"/>
      <w:szCs w:val="20"/>
    </w:rPr>
  </w:style>
  <w:style w:type="paragraph" w:styleId="1385">
    <w:name w:val="_Style 160"/>
    <w:next w:val="1385"/>
    <w:link w:val="1197"/>
    <w:qFormat/>
    <w:rPr>
      <w:sz w:val="21"/>
      <w:szCs w:val="24"/>
      <w:lang w:val="en-US" w:eastAsia="zh-CN" w:bidi="ar-SA"/>
    </w:rPr>
  </w:style>
  <w:style w:type="paragraph" w:styleId="1386">
    <w:name w:val="项目编号3"/>
    <w:basedOn w:val="1347"/>
    <w:next w:val="1386"/>
    <w:link w:val="1197"/>
    <w:qFormat/>
    <w:pPr>
      <w:numPr>
        <w:ilvl w:val="0"/>
        <w:numId w:val="6"/>
      </w:numPr>
    </w:pPr>
  </w:style>
  <w:style w:type="paragraph" w:styleId="1387">
    <w:name w:val="Char21"/>
    <w:basedOn w:val="1197"/>
    <w:next w:val="1387"/>
    <w:link w:val="1197"/>
    <w:qFormat/>
    <w:rPr>
      <w:rFonts w:ascii="Tahoma" w:hAnsi="Tahoma"/>
      <w:sz w:val="24"/>
      <w:szCs w:val="20"/>
    </w:rPr>
  </w:style>
  <w:style w:type="paragraph" w:styleId="1388">
    <w:name w:val="表格文字"/>
    <w:basedOn w:val="1231"/>
    <w:next w:val="1388"/>
    <w:link w:val="1197"/>
    <w:qFormat/>
    <w:pPr>
      <w:ind w:firstLine="0"/>
      <w:spacing w:before="20" w:after="20" w:line="240" w:lineRule="auto"/>
    </w:pPr>
    <w:rPr>
      <w:rFonts w:ascii="Century Gothic" w:hAnsi="Century Gothic"/>
      <w:sz w:val="20"/>
      <w:szCs w:val="20"/>
    </w:rPr>
  </w:style>
  <w:style w:type="paragraph" w:styleId="1389">
    <w:name w:val="Char Char Char Char Char Char Char Char Char Char1"/>
    <w:basedOn w:val="1197"/>
    <w:next w:val="1389"/>
    <w:link w:val="1197"/>
    <w:qFormat/>
    <w:rPr>
      <w:rFonts w:ascii="宋体" w:hAnsi="宋体" w:cs="Courier New"/>
      <w:sz w:val="32"/>
      <w:szCs w:val="32"/>
    </w:rPr>
  </w:style>
  <w:style w:type="paragraph" w:styleId="1390">
    <w:name w:val="正文文本样式 加粗"/>
    <w:basedOn w:val="1347"/>
    <w:next w:val="1390"/>
    <w:link w:val="1197"/>
    <w:qFormat/>
    <w:rPr>
      <w:b/>
    </w:rPr>
  </w:style>
  <w:style w:type="paragraph" w:styleId="1391">
    <w:name w:val="Char2 Char Char Char Char Char Char"/>
    <w:basedOn w:val="1197"/>
    <w:next w:val="1391"/>
    <w:link w:val="1197"/>
    <w:qFormat/>
    <w:pPr>
      <w:jc w:val="center"/>
      <w:spacing w:line="400" w:lineRule="exact"/>
      <w:widowControl/>
    </w:pPr>
  </w:style>
  <w:style w:type="paragraph" w:styleId="1392">
    <w:name w:val="Char Char4"/>
    <w:basedOn w:val="1197"/>
    <w:next w:val="1392"/>
    <w:link w:val="1197"/>
    <w:qFormat/>
    <w:pPr>
      <w:jc w:val="center"/>
      <w:spacing w:line="400" w:lineRule="exact"/>
      <w:widowControl/>
    </w:pPr>
  </w:style>
  <w:style w:type="paragraph" w:styleId="1393">
    <w:name w:val="Char3 Char Char Char1"/>
    <w:basedOn w:val="1197"/>
    <w:next w:val="1393"/>
    <w:link w:val="1197"/>
    <w:qFormat/>
    <w:rPr>
      <w:rFonts w:ascii="Tahoma" w:hAnsi="Tahoma"/>
      <w:sz w:val="24"/>
      <w:szCs w:val="20"/>
    </w:rPr>
  </w:style>
  <w:style w:type="paragraph" w:styleId="1394">
    <w:name w:val="无间隔"/>
    <w:next w:val="1394"/>
    <w:link w:val="1197"/>
    <w:qFormat/>
    <w:pPr>
      <w:jc w:val="both"/>
      <w:widowControl w:val="off"/>
    </w:pPr>
    <w:rPr>
      <w:sz w:val="21"/>
      <w:szCs w:val="24"/>
      <w:lang w:val="en-US" w:eastAsia="zh-CN" w:bidi="ar-SA"/>
    </w:rPr>
  </w:style>
  <w:style w:type="paragraph" w:styleId="1395">
    <w:name w:val="22222222222222"/>
    <w:basedOn w:val="1197"/>
    <w:next w:val="1395"/>
    <w:link w:val="1197"/>
    <w:qFormat/>
    <w:pPr>
      <w:ind w:firstLine="480"/>
      <w:jc w:val="left"/>
      <w:spacing w:line="360" w:lineRule="auto"/>
      <w:widowControl/>
    </w:pPr>
    <w:rPr>
      <w:color w:val="ff0000"/>
      <w:sz w:val="24"/>
      <w:szCs w:val="20"/>
    </w:rPr>
  </w:style>
  <w:style w:type="character" w:styleId="1396">
    <w:name w:val="中等深浅网格 1 - 强调文字颜色 2 Char"/>
    <w:next w:val="1396"/>
    <w:link w:val="1397"/>
    <w:qFormat/>
    <w:rPr>
      <w:sz w:val="21"/>
      <w:szCs w:val="24"/>
      <w:lang w:val="zh-CN" w:eastAsia="zh-CN" w:bidi="ar-SA"/>
    </w:rPr>
  </w:style>
  <w:style w:type="paragraph" w:styleId="1397">
    <w:name w:val="1"/>
    <w:next w:val="1397"/>
    <w:link w:val="1396"/>
    <w:qFormat/>
    <w:rPr>
      <w:sz w:val="21"/>
      <w:szCs w:val="24"/>
      <w:lang w:val="zh-CN" w:eastAsia="zh-CN" w:bidi="ar-SA"/>
    </w:rPr>
  </w:style>
  <w:style w:type="paragraph" w:styleId="1398">
    <w:name w:val="图文"/>
    <w:basedOn w:val="1197"/>
    <w:next w:val="1398"/>
    <w:link w:val="1197"/>
    <w:qFormat/>
    <w:pPr>
      <w:spacing w:after="50" w:line="360" w:lineRule="auto"/>
    </w:pPr>
    <w:rPr>
      <w:sz w:val="24"/>
    </w:rPr>
  </w:style>
  <w:style w:type="paragraph" w:styleId="1399">
    <w:name w:val="xl23"/>
    <w:basedOn w:val="1197"/>
    <w:next w:val="1399"/>
    <w:link w:val="1197"/>
    <w:qFormat/>
    <w:pPr>
      <w:spacing w:before="100" w:beforeAutospacing="1" w:after="100" w:afterAutospacing="1" w:line="360" w:lineRule="auto"/>
      <w:widowControl/>
    </w:pPr>
    <w:rPr>
      <w:sz w:val="24"/>
      <w:szCs w:val="20"/>
    </w:rPr>
  </w:style>
  <w:style w:type="paragraph" w:styleId="1400">
    <w:name w:val="正文表格"/>
    <w:basedOn w:val="1197"/>
    <w:next w:val="1400"/>
    <w:link w:val="1401"/>
    <w:qFormat/>
    <w:pPr>
      <w:jc w:val="left"/>
    </w:pPr>
    <w:rPr>
      <w:rFonts w:ascii="宋体" w:hAnsi="宋体"/>
      <w:color w:val="000000"/>
      <w:szCs w:val="21"/>
    </w:rPr>
  </w:style>
  <w:style w:type="character" w:styleId="1401">
    <w:name w:val="正文表格 Char"/>
    <w:next w:val="1401"/>
    <w:link w:val="1400"/>
    <w:qFormat/>
    <w:rPr>
      <w:rFonts w:ascii="宋体" w:hAnsi="宋体"/>
      <w:color w:val="000000"/>
      <w:sz w:val="21"/>
      <w:szCs w:val="21"/>
    </w:rPr>
  </w:style>
  <w:style w:type="paragraph" w:styleId="1402">
    <w:name w:val="正文重点"/>
    <w:basedOn w:val="1197"/>
    <w:next w:val="1402"/>
    <w:link w:val="1403"/>
    <w:qFormat/>
    <w:pPr>
      <w:ind w:firstLine="482"/>
      <w:jc w:val="left"/>
      <w:spacing w:line="360" w:lineRule="auto"/>
    </w:pPr>
    <w:rPr>
      <w:b/>
      <w:sz w:val="24"/>
      <w:szCs w:val="20"/>
    </w:rPr>
  </w:style>
  <w:style w:type="character" w:styleId="1403">
    <w:name w:val="正文重点 Char"/>
    <w:next w:val="1403"/>
    <w:link w:val="1402"/>
    <w:qFormat/>
    <w:rPr>
      <w:b/>
      <w:sz w:val="24"/>
    </w:rPr>
  </w:style>
  <w:style w:type="paragraph" w:styleId="1404">
    <w:name w:val="标题1-附件"/>
    <w:basedOn w:val="1198"/>
    <w:next w:val="1404"/>
    <w:link w:val="1197"/>
    <w:qFormat/>
    <w:pPr>
      <w:jc w:val="left"/>
    </w:pPr>
    <w:rPr>
      <w:sz w:val="24"/>
      <w:szCs w:val="24"/>
    </w:rPr>
  </w:style>
  <w:style w:type="paragraph" w:styleId="1405">
    <w:name w:val="正文小标题"/>
    <w:basedOn w:val="1197"/>
    <w:next w:val="1220"/>
    <w:link w:val="1406"/>
    <w:qFormat/>
    <w:pPr>
      <w:ind w:firstLine="482"/>
      <w:jc w:val="left"/>
      <w:spacing w:before="312" w:after="312"/>
    </w:pPr>
    <w:rPr>
      <w:rFonts w:ascii="宋体" w:hAnsi="宋体"/>
      <w:b/>
      <w:i/>
      <w:color w:val="ff0000"/>
      <w:sz w:val="24"/>
      <w:szCs w:val="20"/>
    </w:rPr>
  </w:style>
  <w:style w:type="character" w:styleId="1406">
    <w:name w:val="正文小标题 Char"/>
    <w:next w:val="1406"/>
    <w:link w:val="1405"/>
    <w:qFormat/>
    <w:rPr>
      <w:rFonts w:ascii="宋体" w:hAnsi="宋体"/>
      <w:b/>
      <w:i/>
      <w:color w:val="ff0000"/>
      <w:sz w:val="24"/>
    </w:rPr>
  </w:style>
  <w:style w:type="paragraph" w:styleId="1407">
    <w:name w:val="正文大标题"/>
    <w:basedOn w:val="1405"/>
    <w:next w:val="1220"/>
    <w:link w:val="1408"/>
    <w:qFormat/>
    <w:pPr>
      <w:jc w:val="center"/>
    </w:pPr>
    <w:rPr>
      <w:i w:val="0"/>
      <w:color w:val="000000"/>
      <w:sz w:val="28"/>
      <w:szCs w:val="21"/>
    </w:rPr>
  </w:style>
  <w:style w:type="character" w:styleId="1408">
    <w:name w:val="正文大标题 Char"/>
    <w:next w:val="1408"/>
    <w:link w:val="1407"/>
    <w:qFormat/>
    <w:rPr>
      <w:rFonts w:ascii="宋体" w:hAnsi="宋体"/>
      <w:b/>
      <w:color w:val="000000"/>
      <w:sz w:val="28"/>
      <w:szCs w:val="21"/>
    </w:rPr>
  </w:style>
  <w:style w:type="paragraph" w:styleId="1409">
    <w:name w:val="注释"/>
    <w:basedOn w:val="1197"/>
    <w:next w:val="1409"/>
    <w:link w:val="1410"/>
    <w:qFormat/>
    <w:pPr>
      <w:ind w:left="420" w:hanging="420"/>
      <w:jc w:val="left"/>
    </w:pPr>
    <w:rPr>
      <w:rFonts w:ascii="宋体" w:hAnsi="宋体"/>
      <w:szCs w:val="21"/>
    </w:rPr>
  </w:style>
  <w:style w:type="character" w:styleId="1410">
    <w:name w:val="注释 Char"/>
    <w:next w:val="1410"/>
    <w:link w:val="1409"/>
    <w:qFormat/>
    <w:rPr>
      <w:rFonts w:ascii="宋体" w:hAnsi="宋体"/>
      <w:sz w:val="21"/>
      <w:szCs w:val="21"/>
    </w:rPr>
  </w:style>
  <w:style w:type="paragraph" w:styleId="1411">
    <w:name w:val="正文须知-1级"/>
    <w:basedOn w:val="1197"/>
    <w:next w:val="1197"/>
    <w:link w:val="1197"/>
    <w:qFormat/>
    <w:pPr>
      <w:numPr>
        <w:ilvl w:val="0"/>
        <w:numId w:val="7"/>
      </w:numPr>
      <w:spacing w:line="300" w:lineRule="auto"/>
    </w:pPr>
    <w:rPr>
      <w:rFonts w:ascii="宋体" w:hAnsi="Calibri"/>
      <w:sz w:val="24"/>
      <w:szCs w:val="21"/>
    </w:rPr>
  </w:style>
  <w:style w:type="paragraph" w:styleId="1412">
    <w:name w:val="正文须知-2级"/>
    <w:basedOn w:val="1197"/>
    <w:next w:val="1412"/>
    <w:link w:val="1197"/>
    <w:qFormat/>
    <w:pPr>
      <w:numPr>
        <w:ilvl w:val="1"/>
        <w:numId w:val="7"/>
      </w:numPr>
      <w:spacing w:line="300" w:lineRule="auto"/>
    </w:pPr>
    <w:rPr>
      <w:rFonts w:ascii="宋体" w:hAnsi="Calibri"/>
      <w:sz w:val="24"/>
      <w:szCs w:val="21"/>
    </w:rPr>
  </w:style>
  <w:style w:type="paragraph" w:styleId="1413">
    <w:name w:val="正文须知-3级"/>
    <w:basedOn w:val="1197"/>
    <w:next w:val="1413"/>
    <w:link w:val="1197"/>
    <w:qFormat/>
    <w:pPr>
      <w:numPr>
        <w:ilvl w:val="2"/>
        <w:numId w:val="7"/>
      </w:numPr>
      <w:ind w:hanging="355"/>
      <w:spacing w:line="300" w:lineRule="auto"/>
    </w:pPr>
    <w:rPr>
      <w:rFonts w:ascii="宋体" w:hAnsi="Calibri"/>
      <w:sz w:val="24"/>
      <w:szCs w:val="21"/>
    </w:rPr>
  </w:style>
  <w:style w:type="character" w:styleId="1414">
    <w:name w:val="纯文本 字符"/>
    <w:next w:val="1414"/>
    <w:link w:val="1197"/>
    <w:uiPriority w:val="99"/>
    <w:qFormat/>
    <w:rPr>
      <w:rFonts w:ascii="宋体" w:hAnsi="Courier New" w:eastAsia="宋体" w:cs="Times New Roman"/>
      <w:sz w:val="21"/>
      <w:szCs w:val="21"/>
      <w:lang w:val="en-US" w:eastAsia="zh-CN" w:bidi="ar-SA"/>
    </w:rPr>
  </w:style>
  <w:style w:type="paragraph" w:styleId="1415">
    <w:name w:val="表格1"/>
    <w:basedOn w:val="1197"/>
    <w:next w:val="1415"/>
    <w:link w:val="1197"/>
    <w:qFormat/>
    <w:pPr>
      <w:ind w:firstLine="480"/>
      <w:jc w:val="center"/>
    </w:pPr>
    <w:rPr>
      <w:sz w:val="24"/>
      <w:szCs w:val="20"/>
    </w:rPr>
  </w:style>
  <w:style w:type="character" w:styleId="1416">
    <w:name w:val="纯文本 字符1"/>
    <w:next w:val="1416"/>
    <w:link w:val="1197"/>
    <w:qFormat/>
    <w:rPr>
      <w:rFonts w:ascii="宋体" w:hAnsi="Courier New"/>
    </w:rPr>
  </w:style>
  <w:style w:type="character" w:styleId="1417">
    <w:name w:val="bjh-p"/>
    <w:next w:val="1417"/>
    <w:link w:val="1197"/>
    <w:qFormat/>
  </w:style>
  <w:style w:type="paragraph" w:styleId="1418">
    <w:name w:val="无标题条"/>
    <w:next w:val="1197"/>
    <w:link w:val="1197"/>
    <w:qFormat/>
    <w:pPr>
      <w:jc w:val="both"/>
    </w:pPr>
    <w:rPr>
      <w:sz w:val="21"/>
      <w:lang w:val="en-US" w:eastAsia="zh-CN" w:bidi="ar-SA"/>
    </w:rPr>
  </w:style>
  <w:style w:type="character" w:styleId="1419">
    <w:name w:val="正文格式 Char"/>
    <w:next w:val="1419"/>
    <w:link w:val="1420"/>
    <w:qFormat/>
    <w:rPr>
      <w:rFonts w:ascii="宋体" w:hAnsi="宋体"/>
      <w:sz w:val="24"/>
      <w:szCs w:val="24"/>
      <w:lang w:val="en-GB"/>
    </w:rPr>
  </w:style>
  <w:style w:type="paragraph" w:styleId="1420">
    <w:name w:val="正文格式"/>
    <w:basedOn w:val="1197"/>
    <w:next w:val="1420"/>
    <w:link w:val="1419"/>
    <w:qFormat/>
    <w:pPr>
      <w:ind w:firstLine="480"/>
      <w:spacing w:line="360" w:lineRule="auto"/>
    </w:pPr>
    <w:rPr>
      <w:rFonts w:ascii="宋体" w:hAnsi="宋体"/>
      <w:sz w:val="24"/>
      <w:lang w:val="en-GB"/>
    </w:rPr>
  </w:style>
  <w:style w:type="character" w:styleId="1421">
    <w:name w:val="标题 3 Char"/>
    <w:next w:val="1421"/>
    <w:link w:val="1197"/>
    <w:qFormat/>
    <w:rPr>
      <w:rFonts w:ascii="宋体" w:eastAsia="宋体"/>
      <w:b/>
      <w:sz w:val="24"/>
      <w:u w:val="single"/>
      <w:lang w:val="en-US" w:eastAsia="zh-CN" w:bidi="ar-SA"/>
    </w:rPr>
  </w:style>
  <w:style w:type="character" w:styleId="1422">
    <w:name w:val="正文缩进 Char"/>
    <w:next w:val="1422"/>
    <w:link w:val="1197"/>
    <w:qFormat/>
    <w:rPr>
      <w:rFonts w:ascii="宋体" w:eastAsia="宋体"/>
      <w:sz w:val="24"/>
      <w:szCs w:val="24"/>
      <w:lang w:val="en-US" w:eastAsia="zh-CN" w:bidi="ar-SA"/>
    </w:rPr>
  </w:style>
  <w:style w:type="character" w:styleId="1423">
    <w:name w:val="Char Char111"/>
    <w:next w:val="1423"/>
    <w:link w:val="1197"/>
    <w:qFormat/>
    <w:rPr>
      <w:rFonts w:ascii="宋体" w:eastAsia="宋体"/>
      <w:b/>
      <w:sz w:val="24"/>
      <w:u w:val="single"/>
      <w:lang w:val="en-US" w:eastAsia="zh-CN" w:bidi="ar-SA"/>
    </w:rPr>
  </w:style>
  <w:style w:type="character" w:styleId="1424">
    <w:name w:val="正文文本缩进 Char"/>
    <w:next w:val="1424"/>
    <w:link w:val="1197"/>
    <w:qFormat/>
    <w:rPr>
      <w:rFonts w:eastAsia="宋体"/>
      <w:sz w:val="24"/>
      <w:szCs w:val="24"/>
      <w:lang w:val="en-US" w:eastAsia="zh-CN" w:bidi="ar-SA"/>
    </w:rPr>
  </w:style>
  <w:style w:type="character" w:styleId="1425">
    <w:name w:val="列出段落 Char"/>
    <w:next w:val="1425"/>
    <w:link w:val="1197"/>
    <w:qFormat/>
    <w:rPr>
      <w:rFonts w:ascii="Calibri" w:hAnsi="Calibri" w:eastAsia="宋体"/>
      <w:sz w:val="21"/>
      <w:szCs w:val="22"/>
      <w:lang w:val="en-US" w:eastAsia="zh-CN" w:bidi="ar-SA"/>
    </w:rPr>
  </w:style>
  <w:style w:type="character" w:styleId="1426">
    <w:name w:val="页眉 Char"/>
    <w:next w:val="1426"/>
    <w:link w:val="1197"/>
    <w:qFormat/>
    <w:rPr>
      <w:rFonts w:eastAsia="宋体"/>
      <w:sz w:val="18"/>
      <w:szCs w:val="18"/>
      <w:lang w:val="en-US" w:eastAsia="zh-CN" w:bidi="ar-SA"/>
    </w:rPr>
  </w:style>
  <w:style w:type="character" w:styleId="1427">
    <w:name w:val="标题 2 Char"/>
    <w:next w:val="1427"/>
    <w:link w:val="1197"/>
    <w:qFormat/>
    <w:rPr>
      <w:rFonts w:ascii="Arial" w:hAnsi="Arial" w:eastAsia="黑体"/>
      <w:b/>
      <w:sz w:val="30"/>
      <w:lang w:val="en-US" w:eastAsia="zh-CN" w:bidi="ar-SA"/>
    </w:rPr>
  </w:style>
  <w:style w:type="paragraph" w:styleId="1428">
    <w:name w:val="字元 字元2"/>
    <w:basedOn w:val="1197"/>
    <w:next w:val="1428"/>
    <w:link w:val="1197"/>
    <w:qFormat/>
    <w:rPr>
      <w:rFonts w:ascii="Tahoma" w:hAnsi="Tahoma"/>
      <w:sz w:val="24"/>
      <w:szCs w:val="20"/>
    </w:rPr>
  </w:style>
  <w:style w:type="paragraph" w:styleId="1429">
    <w:name w:val="Char3 Char Char Char2"/>
    <w:basedOn w:val="1197"/>
    <w:next w:val="1429"/>
    <w:link w:val="1197"/>
    <w:qFormat/>
    <w:rPr>
      <w:rFonts w:ascii="Tahoma" w:hAnsi="Tahoma"/>
      <w:sz w:val="24"/>
      <w:szCs w:val="20"/>
    </w:rPr>
  </w:style>
  <w:style w:type="paragraph" w:styleId="1430">
    <w:name w:val="正文文本缩进2"/>
    <w:basedOn w:val="1197"/>
    <w:next w:val="1430"/>
    <w:link w:val="1197"/>
    <w:qFormat/>
    <w:pPr>
      <w:ind w:firstLine="480"/>
      <w:spacing w:line="480" w:lineRule="exact"/>
    </w:pPr>
    <w:rPr>
      <w:rFonts w:ascii="宋体" w:hAnsi="宋体"/>
      <w:sz w:val="24"/>
      <w:lang w:val="zh-CN" w:eastAsia="zh-CN"/>
    </w:rPr>
  </w:style>
  <w:style w:type="paragraph" w:styleId="1431">
    <w:name w:val="Char3"/>
    <w:basedOn w:val="1197"/>
    <w:next w:val="1431"/>
    <w:link w:val="1197"/>
    <w:qFormat/>
    <w:pPr>
      <w:tabs>
        <w:tab w:val="left" w:pos="360" w:leader="none"/>
      </w:tabs>
    </w:pPr>
    <w:rPr>
      <w:sz w:val="24"/>
    </w:rPr>
  </w:style>
  <w:style w:type="paragraph" w:styleId="1432">
    <w:name w:val="Char Char Char Char Char Char Char Char Char Char Char Char Char Char Char Char1"/>
    <w:basedOn w:val="1197"/>
    <w:next w:val="1432"/>
    <w:link w:val="1197"/>
    <w:qFormat/>
    <w:pPr>
      <w:jc w:val="center"/>
      <w:spacing w:after="160" w:line="240" w:lineRule="exact"/>
      <w:widowControl/>
    </w:pPr>
    <w:rPr>
      <w:rFonts w:ascii="宋体" w:hAnsi="宋体"/>
      <w:b/>
      <w:sz w:val="30"/>
      <w:szCs w:val="30"/>
      <w:lang w:eastAsia="en-US"/>
    </w:rPr>
  </w:style>
  <w:style w:type="paragraph" w:styleId="1433">
    <w:name w:val="Char Char1 Char Char Char Char Char Char1"/>
    <w:basedOn w:val="1197"/>
    <w:next w:val="1433"/>
    <w:link w:val="1197"/>
    <w:qFormat/>
    <w:pPr>
      <w:jc w:val="left"/>
      <w:spacing w:after="160" w:line="240" w:lineRule="exact"/>
      <w:widowControl/>
    </w:pPr>
    <w:rPr>
      <w:rFonts w:ascii="Verdana" w:hAnsi="Verdana" w:eastAsia="仿宋_GB2312"/>
      <w:sz w:val="24"/>
      <w:szCs w:val="20"/>
      <w:lang w:eastAsia="en-US"/>
    </w:rPr>
  </w:style>
  <w:style w:type="paragraph" w:styleId="1434">
    <w:name w:val="列出段落2"/>
    <w:basedOn w:val="1197"/>
    <w:next w:val="1434"/>
    <w:link w:val="1197"/>
    <w:qFormat/>
    <w:pPr>
      <w:ind w:firstLine="420"/>
    </w:pPr>
    <w:rPr>
      <w:rFonts w:ascii="Calibri" w:hAnsi="Calibri"/>
      <w:szCs w:val="22"/>
    </w:rPr>
  </w:style>
  <w:style w:type="paragraph" w:styleId="1435">
    <w:name w:val="Char Char Char1 Char2"/>
    <w:basedOn w:val="1197"/>
    <w:next w:val="1435"/>
    <w:link w:val="1197"/>
    <w:qFormat/>
    <w:rPr>
      <w:rFonts w:ascii="Tahoma" w:hAnsi="Tahoma"/>
      <w:sz w:val="24"/>
      <w:szCs w:val="20"/>
    </w:rPr>
  </w:style>
  <w:style w:type="paragraph" w:styleId="1436">
    <w:name w:val="Char Char Char2"/>
    <w:basedOn w:val="1197"/>
    <w:next w:val="1436"/>
    <w:link w:val="1197"/>
    <w:qFormat/>
    <w:rPr>
      <w:rFonts w:ascii="Tahoma" w:hAnsi="Tahoma"/>
      <w:sz w:val="24"/>
      <w:szCs w:val="20"/>
    </w:rPr>
  </w:style>
  <w:style w:type="paragraph" w:styleId="1437">
    <w:name w:val="Char Char Char Char Char Char Char2"/>
    <w:basedOn w:val="1197"/>
    <w:next w:val="1437"/>
    <w:link w:val="1197"/>
    <w:qFormat/>
    <w:pPr>
      <w:ind w:firstLine="200"/>
      <w:spacing w:line="360" w:lineRule="auto"/>
    </w:pPr>
    <w:rPr>
      <w:rFonts w:eastAsia="仿宋_GB2312"/>
      <w:sz w:val="24"/>
    </w:rPr>
  </w:style>
  <w:style w:type="paragraph" w:styleId="1438">
    <w:name w:val="正文缩进2"/>
    <w:basedOn w:val="1197"/>
    <w:next w:val="1438"/>
    <w:link w:val="1197"/>
    <w:qFormat/>
    <w:pPr>
      <w:ind w:firstLine="567"/>
      <w:spacing w:line="480" w:lineRule="exact"/>
      <w:widowControl/>
    </w:pPr>
    <w:rPr>
      <w:rFonts w:ascii="宋体"/>
      <w:color w:val="000000"/>
      <w:sz w:val="28"/>
      <w:szCs w:val="20"/>
      <w:lang w:val="zh-CN" w:eastAsia="zh-CN"/>
    </w:rPr>
  </w:style>
  <w:style w:type="paragraph" w:styleId="1439">
    <w:name w:val="Revision"/>
    <w:next w:val="1439"/>
    <w:link w:val="1197"/>
    <w:qFormat/>
    <w:rPr>
      <w:sz w:val="21"/>
      <w:szCs w:val="24"/>
      <w:lang w:val="en-US" w:eastAsia="zh-CN" w:bidi="ar-SA"/>
    </w:rPr>
  </w:style>
  <w:style w:type="paragraph" w:styleId="1440">
    <w:name w:val="Char22"/>
    <w:basedOn w:val="1197"/>
    <w:next w:val="1440"/>
    <w:link w:val="1197"/>
    <w:qFormat/>
    <w:rPr>
      <w:rFonts w:ascii="Tahoma" w:hAnsi="Tahoma"/>
      <w:sz w:val="24"/>
      <w:szCs w:val="20"/>
    </w:rPr>
  </w:style>
  <w:style w:type="paragraph" w:styleId="1441">
    <w:name w:val="Char Char Char Char Char Char Char Char Char Char2"/>
    <w:basedOn w:val="1197"/>
    <w:next w:val="1441"/>
    <w:link w:val="1197"/>
    <w:qFormat/>
    <w:rPr>
      <w:rFonts w:ascii="宋体" w:hAnsi="宋体" w:cs="Courier New"/>
      <w:sz w:val="32"/>
      <w:szCs w:val="32"/>
    </w:rPr>
  </w:style>
  <w:style w:type="paragraph" w:styleId="1442">
    <w:name w:val="Char2 Char Char Char Char Char Char1"/>
    <w:basedOn w:val="1197"/>
    <w:next w:val="1442"/>
    <w:link w:val="1197"/>
    <w:qFormat/>
    <w:pPr>
      <w:jc w:val="center"/>
      <w:spacing w:line="400" w:lineRule="exact"/>
      <w:widowControl/>
    </w:pPr>
  </w:style>
  <w:style w:type="character" w:styleId="1443">
    <w:name w:val="页脚 Char"/>
    <w:next w:val="1443"/>
    <w:link w:val="1197"/>
    <w:qFormat/>
    <w:rPr>
      <w:rFonts w:ascii="宋体" w:eastAsia="宋体"/>
      <w:sz w:val="18"/>
      <w:lang w:val="en-US" w:eastAsia="zh-CN" w:bidi="ar-SA"/>
    </w:rPr>
  </w:style>
  <w:style w:type="paragraph" w:styleId="1444">
    <w:name w:val="Char Char41"/>
    <w:basedOn w:val="1197"/>
    <w:next w:val="1444"/>
    <w:link w:val="1197"/>
    <w:qFormat/>
    <w:pPr>
      <w:jc w:val="center"/>
      <w:spacing w:line="400" w:lineRule="exact"/>
      <w:widowControl/>
    </w:pPr>
  </w:style>
  <w:style w:type="character" w:styleId="1445">
    <w:name w:val="批注文字 Char"/>
    <w:next w:val="1445"/>
    <w:link w:val="1197"/>
    <w:uiPriority w:val="99"/>
    <w:qFormat/>
    <w:rPr>
      <w:sz w:val="21"/>
      <w:szCs w:val="24"/>
    </w:rPr>
  </w:style>
  <w:style w:type="character" w:styleId="1446">
    <w:name w:val="标题 Char"/>
    <w:next w:val="1446"/>
    <w:link w:val="1197"/>
    <w:qFormat/>
    <w:rPr>
      <w:b/>
      <w:sz w:val="32"/>
    </w:rPr>
  </w:style>
  <w:style w:type="paragraph" w:styleId="1447">
    <w:name w:val="图例"/>
    <w:basedOn w:val="1197"/>
    <w:next w:val="1447"/>
    <w:link w:val="1197"/>
    <w:qFormat/>
    <w:pPr>
      <w:jc w:val="center"/>
      <w:spacing w:before="120" w:after="120" w:line="360" w:lineRule="auto"/>
    </w:pPr>
    <w:rPr>
      <w:rFonts w:eastAsia="仿宋_GB2312"/>
      <w:b/>
      <w:sz w:val="24"/>
      <w:szCs w:val="20"/>
    </w:rPr>
  </w:style>
  <w:style w:type="paragraph" w:styleId="1448">
    <w:name w:val="Table Paragraph"/>
    <w:basedOn w:val="1197"/>
    <w:next w:val="1448"/>
    <w:link w:val="1197"/>
    <w:uiPriority w:val="1"/>
    <w:qFormat/>
    <w:pPr>
      <w:jc w:val="left"/>
    </w:pPr>
    <w:rPr>
      <w:rFonts w:ascii="宋体" w:hAnsi="宋体" w:cs="宋体"/>
      <w:sz w:val="22"/>
      <w:szCs w:val="22"/>
      <w:lang w:eastAsia="en-US"/>
    </w:rPr>
  </w:style>
  <w:style w:type="table" w:styleId="1449">
    <w:name w:val="Table Normal"/>
    <w:next w:val="1449"/>
    <w:link w:val="1197"/>
    <w:uiPriority w:val="2"/>
    <w:semiHidden/>
    <w:qFormat/>
    <w:pPr>
      <w:widowControl w:val="off"/>
    </w:pPr>
    <w:rPr>
      <w:rFonts w:ascii="Calibri" w:hAnsi="Calibri"/>
      <w:sz w:val="22"/>
      <w:szCs w:val="22"/>
      <w:lang w:val="en-US" w:eastAsia="en-US" w:bidi="ar-SA"/>
    </w:rPr>
    <w:tblPr/>
  </w:style>
  <w:style w:type="paragraph" w:styleId="1450">
    <w:name w:val="成文日期"/>
    <w:basedOn w:val="1197"/>
    <w:next w:val="1450"/>
    <w:link w:val="1451"/>
    <w:qFormat/>
    <w:pPr>
      <w:ind w:right="400" w:firstLine="200"/>
      <w:jc w:val="right"/>
      <w:spacing w:line="570" w:lineRule="exact"/>
    </w:pPr>
    <w:rPr>
      <w:rFonts w:ascii="仿宋_GB2312" w:eastAsia="仿宋_GB2312"/>
      <w:sz w:val="32"/>
      <w:szCs w:val="20"/>
    </w:rPr>
  </w:style>
  <w:style w:type="character" w:styleId="1451">
    <w:name w:val="成文日期 Char"/>
    <w:next w:val="1451"/>
    <w:link w:val="1450"/>
    <w:rPr>
      <w:rFonts w:ascii="仿宋_GB2312" w:eastAsia="仿宋_GB2312"/>
      <w:sz w:val="32"/>
    </w:rPr>
  </w:style>
  <w:style w:type="paragraph" w:styleId="1452">
    <w:name w:val="正文（首行缩进2字符）"/>
    <w:basedOn w:val="1197"/>
    <w:next w:val="1452"/>
    <w:link w:val="1197"/>
    <w:qFormat/>
    <w:pPr>
      <w:ind w:firstLine="420"/>
    </w:pPr>
    <w:rPr>
      <w:szCs w:val="21"/>
    </w:rPr>
  </w:style>
  <w:style w:type="character" w:styleId="1453">
    <w:name w:val="nav-on"/>
    <w:basedOn w:val="1207"/>
    <w:next w:val="1453"/>
    <w:link w:val="1197"/>
    <w:rPr>
      <w:vanish/>
    </w:rPr>
  </w:style>
  <w:style w:type="character" w:styleId="1454">
    <w:name w:val="disabled"/>
    <w:basedOn w:val="1207"/>
    <w:next w:val="1454"/>
    <w:link w:val="1197"/>
    <w:rPr>
      <w:color w:val="929292"/>
    </w:rPr>
  </w:style>
  <w:style w:type="character" w:styleId="1455">
    <w:name w:val="thisclass"/>
    <w:basedOn w:val="1207"/>
    <w:next w:val="1455"/>
    <w:link w:val="1197"/>
    <w:rPr>
      <w:b/>
      <w:bCs/>
      <w:color w:val="ffffff"/>
      <w:shd w:val="clear" w:color="auto" w:fill="2e6ab1"/>
    </w:rPr>
  </w:style>
  <w:style w:type="paragraph" w:styleId="1456">
    <w:name w:val="È±Ê¡ÎÄ±¾"/>
    <w:basedOn w:val="1197"/>
    <w:next w:val="1456"/>
    <w:link w:val="1197"/>
    <w:pPr>
      <w:spacing w:line="240" w:lineRule="auto"/>
      <w:widowControl/>
    </w:pPr>
  </w:style>
  <w:style w:type="paragraph" w:styleId="1457">
    <w:name w:val="无间隔1"/>
    <w:basedOn w:val="1197"/>
    <w:next w:val="1457"/>
    <w:link w:val="1197"/>
    <w:rPr>
      <w:rFonts w:ascii="Times New Roman" w:hAnsi="Times New Roman" w:eastAsia="宋体" w:cs="Times New Roman"/>
    </w:rPr>
  </w:style>
  <w:style w:type="character" w:styleId="1458">
    <w:name w:val="font21"/>
    <w:basedOn w:val="1207"/>
    <w:next w:val="1458"/>
    <w:link w:val="1197"/>
    <w:qFormat/>
    <w:rPr>
      <w:rFonts w:ascii="font-weight : 700" w:hAnsi="font-weight : 700" w:eastAsia="font-weight : 700" w:cs="font-weight : 700"/>
      <w:color w:val="000000"/>
      <w:sz w:val="22"/>
      <w:szCs w:val="22"/>
      <w:u w:val="none"/>
    </w:rPr>
  </w:style>
  <w:style w:type="character" w:styleId="1459">
    <w:name w:val="font01"/>
    <w:basedOn w:val="1207"/>
    <w:next w:val="1459"/>
    <w:link w:val="1197"/>
    <w:rPr>
      <w:rFonts w:ascii="font-weight : 400" w:hAnsi="font-weight : 400" w:eastAsia="font-weight : 400" w:cs="font-weight : 400"/>
      <w:color w:val="000000"/>
      <w:sz w:val="18"/>
      <w:szCs w:val="18"/>
      <w:u w:val="none"/>
    </w:rPr>
  </w:style>
  <w:style w:type="character" w:styleId="1460">
    <w:name w:val="font41"/>
    <w:basedOn w:val="1207"/>
    <w:next w:val="1460"/>
    <w:link w:val="1197"/>
    <w:rPr>
      <w:rFonts w:hint="eastAsia" w:ascii="宋体" w:hAnsi="宋体" w:eastAsia="宋体" w:cs="宋体"/>
      <w:b/>
      <w:bCs/>
      <w:i w:val="0"/>
      <w:iCs w:val="0"/>
      <w:color w:val="000000"/>
      <w:sz w:val="24"/>
      <w:szCs w:val="24"/>
      <w:u w:val="none"/>
    </w:rPr>
  </w:style>
  <w:style w:type="character" w:styleId="1461">
    <w:name w:val="font161"/>
    <w:basedOn w:val="1207"/>
    <w:next w:val="1461"/>
    <w:link w:val="1197"/>
    <w:rPr>
      <w:rFonts w:hint="eastAsia" w:ascii="宋体" w:hAnsi="宋体" w:eastAsia="宋体" w:cs="宋体"/>
      <w:b/>
      <w:bCs/>
      <w:i w:val="0"/>
      <w:iCs w:val="0"/>
      <w:color w:val="000000"/>
      <w:sz w:val="24"/>
      <w:szCs w:val="24"/>
      <w:u w:val="none"/>
      <w:vertAlign w:val="superscript"/>
    </w:rPr>
  </w:style>
  <w:style w:type="character" w:styleId="1462">
    <w:name w:val="15"/>
    <w:basedOn w:val="1207"/>
    <w:next w:val="1462"/>
    <w:link w:val="1197"/>
    <w:qFormat/>
    <w:rPr>
      <w:rFonts w:ascii="Times New Roman" w:hAnsi="Times New Roman" w:cs="Times New Roman"/>
      <w:b/>
      <w:bCs/>
    </w:rPr>
  </w:style>
  <w:style w:type="character" w:styleId="1463">
    <w:name w:val="font11"/>
    <w:basedOn w:val="1207"/>
    <w:next w:val="1463"/>
    <w:link w:val="1197"/>
    <w:rPr>
      <w:rFonts w:hint="eastAsia" w:ascii="宋体" w:hAnsi="宋体" w:eastAsia="宋体" w:cs="宋体"/>
      <w:b/>
      <w:bCs/>
      <w:i w:val="0"/>
      <w:iCs w:val="0"/>
      <w:color w:val="000000"/>
      <w:sz w:val="20"/>
      <w:szCs w:val="20"/>
      <w:u w:val="none"/>
    </w:rPr>
  </w:style>
  <w:style w:type="character" w:styleId="1464">
    <w:name w:val="font31"/>
    <w:basedOn w:val="1207"/>
    <w:next w:val="1464"/>
    <w:link w:val="1197"/>
    <w:rPr>
      <w:rFonts w:hint="eastAsia" w:ascii="宋体" w:hAnsi="宋体" w:eastAsia="宋体" w:cs="宋体"/>
      <w:i w:val="0"/>
      <w:iCs w:val="0"/>
      <w:color w:val="000000"/>
      <w:sz w:val="18"/>
      <w:szCs w:val="18"/>
      <w:u w:val="none"/>
    </w:rPr>
  </w:style>
  <w:style w:type="paragraph" w:styleId="1465">
    <w:name w:val="正文首行缩进 21"/>
    <w:basedOn w:val="1466"/>
    <w:next w:val="1197"/>
    <w:link w:val="1197"/>
    <w:qFormat/>
    <w:pPr>
      <w:ind w:left="420" w:firstLine="420"/>
      <w:spacing w:after="120" w:line="480" w:lineRule="exact"/>
    </w:pPr>
  </w:style>
  <w:style w:type="paragraph" w:styleId="1466">
    <w:name w:val="正文文本缩进11"/>
    <w:basedOn w:val="1197"/>
    <w:next w:val="1467"/>
    <w:link w:val="1197"/>
    <w:qFormat/>
    <w:pPr>
      <w:ind w:firstLine="570"/>
      <w:spacing w:line="360" w:lineRule="auto"/>
    </w:pPr>
    <w:rPr>
      <w:sz w:val="24"/>
    </w:rPr>
  </w:style>
  <w:style w:type="paragraph" w:styleId="1467">
    <w:name w:val="寄信人地址1"/>
    <w:basedOn w:val="1197"/>
    <w:next w:val="1467"/>
    <w:link w:val="1197"/>
    <w:qFormat/>
    <w:rPr>
      <w:rFonts w:ascii="Arial" w:hAnsi="Arial"/>
    </w:rPr>
  </w:style>
  <w:style w:type="paragraph" w:styleId="1468">
    <w:name w:val="Í¼±íÕýÎÄ"/>
    <w:basedOn w:val="1197"/>
    <w:next w:val="1469"/>
    <w:link w:val="1197"/>
    <w:qFormat/>
    <w:pPr>
      <w:ind w:firstLine="420"/>
    </w:pPr>
    <w:rPr>
      <w:sz w:val="24"/>
      <w:szCs w:val="20"/>
    </w:rPr>
  </w:style>
  <w:style w:type="paragraph" w:styleId="1469">
    <w:name w:val="正文缩进11"/>
    <w:basedOn w:val="1197"/>
    <w:next w:val="1197"/>
    <w:link w:val="1197"/>
    <w:qFormat/>
    <w:pPr>
      <w:ind w:firstLine="420"/>
      <w:jc w:val="left"/>
    </w:pPr>
    <w:rPr>
      <w:rFonts w:ascii="宋体"/>
      <w:sz w:val="24"/>
    </w:rPr>
  </w:style>
  <w:style w:type="paragraph" w:styleId="1470">
    <w:name w:val="null3"/>
    <w:next w:val="1470"/>
    <w:link w:val="1197"/>
    <w:qFormat/>
    <w:rPr>
      <w:rFonts w:hint="eastAsia" w:ascii="Calibri" w:hAnsi="Calibri" w:eastAsia="宋体" w:cs="Times New Roman"/>
      <w:lang w:val="en-US" w:eastAsia="zh-CN" w:bidi="ar-SA"/>
    </w:rPr>
  </w:style>
  <w:style w:type="character" w:styleId="1471">
    <w:name w:val="font61"/>
    <w:basedOn w:val="1207"/>
    <w:next w:val="1471"/>
    <w:link w:val="1197"/>
    <w:qFormat/>
    <w:rPr>
      <w:rFonts w:ascii="仿宋_GB2312" w:eastAsia="仿宋_GB2312" w:cs="仿宋_GB2312"/>
      <w:color w:val="000000"/>
      <w:sz w:val="18"/>
      <w:szCs w:val="18"/>
      <w:u w:val="none"/>
    </w:rPr>
  </w:style>
  <w:style w:type="character" w:styleId="1472">
    <w:name w:val="font51"/>
    <w:basedOn w:val="1207"/>
    <w:next w:val="1472"/>
    <w:link w:val="1197"/>
    <w:qFormat/>
    <w:rPr>
      <w:rFonts w:ascii="仿宋_GB2312" w:eastAsia="仿宋_GB2312" w:cs="仿宋_GB2312"/>
      <w:color w:val="000000"/>
      <w:sz w:val="18"/>
      <w:szCs w:val="18"/>
      <w:u w:val="none"/>
    </w:rPr>
  </w:style>
  <w:style w:type="paragraph" w:styleId="1473">
    <w:name w:val="纯文本11"/>
    <w:basedOn w:val="1197"/>
    <w:next w:val="1474"/>
    <w:link w:val="1197"/>
    <w:qFormat/>
    <w:rPr>
      <w:rFonts w:hint="eastAsia" w:ascii="宋体" w:hAnsi="Courier New"/>
      <w:szCs w:val="20"/>
    </w:rPr>
  </w:style>
  <w:style w:type="paragraph" w:styleId="1474">
    <w:name w:val="正文缩进111"/>
    <w:basedOn w:val="1197"/>
    <w:next w:val="1197"/>
    <w:link w:val="1197"/>
    <w:qFormat/>
    <w:pPr>
      <w:ind w:firstLine="420"/>
      <w:jc w:val="left"/>
    </w:pPr>
    <w:rPr>
      <w:rFonts w:ascii="宋体"/>
      <w:sz w:val="24"/>
    </w:rPr>
  </w:style>
  <w:style w:type="paragraph" w:styleId="1475">
    <w:name w:val="正文 A"/>
    <w:next w:val="1475"/>
    <w:link w:val="1197"/>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476">
    <w:name w:val="正文文本1"/>
    <w:basedOn w:val="1197"/>
    <w:next w:val="1197"/>
    <w:link w:val="1197"/>
    <w:qFormat/>
    <w:pPr>
      <w:spacing w:before="120" w:line="22" w:lineRule="atLeast"/>
      <w:tabs>
        <w:tab w:val="left" w:pos="567" w:leader="none"/>
      </w:tabs>
    </w:pPr>
    <w:rPr>
      <w:rFonts w:ascii="宋体" w:hAnsi="宋体"/>
      <w:sz w:val="24"/>
    </w:rPr>
  </w:style>
  <w:style w:type="paragraph" w:styleId="1477">
    <w:name w:val="正文首行缩进 211"/>
    <w:basedOn w:val="1478"/>
    <w:next w:val="1197"/>
    <w:link w:val="1197"/>
    <w:qFormat/>
    <w:pPr>
      <w:ind w:left="420" w:firstLine="420"/>
      <w:spacing w:after="120" w:line="480" w:lineRule="exact"/>
    </w:pPr>
  </w:style>
  <w:style w:type="paragraph" w:styleId="1478">
    <w:name w:val="正文文本缩进12"/>
    <w:basedOn w:val="1197"/>
    <w:next w:val="1197"/>
    <w:link w:val="1197"/>
    <w:qFormat/>
    <w:pPr>
      <w:ind w:firstLine="570"/>
      <w:spacing w:line="360" w:lineRule="auto"/>
    </w:pPr>
    <w:rPr>
      <w:sz w:val="24"/>
    </w:rPr>
  </w:style>
  <w:style w:type="character" w:styleId="1479">
    <w:name w:val="font71"/>
    <w:basedOn w:val="1207"/>
    <w:next w:val="1479"/>
    <w:link w:val="1197"/>
    <w:rPr>
      <w:rFonts w:ascii="仿宋_GB2312" w:eastAsia="仿宋_GB2312" w:cs="仿宋_GB2312"/>
      <w:i w:val="0"/>
      <w:iCs w:val="0"/>
      <w:color w:val="000000"/>
      <w:sz w:val="20"/>
      <w:szCs w:val="20"/>
      <w:u w:val="none"/>
    </w:rPr>
  </w:style>
  <w:style w:type="character" w:styleId="1480">
    <w:name w:val="font121"/>
    <w:basedOn w:val="1207"/>
    <w:next w:val="1480"/>
    <w:link w:val="1197"/>
    <w:rPr>
      <w:rFonts w:ascii="Times New Roman" w:hAnsi="Times New Roman" w:cs="Times New Roman"/>
      <w:i w:val="0"/>
      <w:iCs w:val="0"/>
      <w:color w:val="000000"/>
      <w:sz w:val="20"/>
      <w:szCs w:val="20"/>
      <w:u w:val="none"/>
    </w:rPr>
  </w:style>
  <w:style w:type="character" w:styleId="1481">
    <w:name w:val="font131"/>
    <w:basedOn w:val="1207"/>
    <w:next w:val="1481"/>
    <w:link w:val="1197"/>
    <w:rPr>
      <w:rFonts w:ascii="Times New Roman" w:hAnsi="Times New Roman" w:cs="Times New Roman"/>
      <w:i w:val="0"/>
      <w:iCs w:val="0"/>
      <w:color w:val="000000"/>
      <w:sz w:val="20"/>
      <w:szCs w:val="20"/>
      <w:u w:val="none"/>
    </w:rPr>
  </w:style>
  <w:style w:type="character" w:styleId="1482">
    <w:name w:val="NormalCharacter1"/>
    <w:next w:val="1482"/>
    <w:link w:val="1197"/>
    <w:qFormat/>
    <w:rPr>
      <w:sz w:val="21"/>
      <w:szCs w:val="24"/>
      <w:lang w:val="en-US" w:eastAsia="zh-CN" w:bidi="ar-SA"/>
    </w:rPr>
  </w:style>
  <w:style w:type="character" w:styleId="1483" w:default="1">
    <w:name w:val="Default Paragraph Font"/>
    <w:uiPriority w:val="1"/>
    <w:semiHidden/>
    <w:unhideWhenUsed/>
  </w:style>
  <w:style w:type="numbering" w:styleId="1484" w:default="1">
    <w:name w:val="No List"/>
    <w:uiPriority w:val="99"/>
    <w:semiHidden/>
    <w:unhideWhenUsed/>
  </w:style>
  <w:style w:type="table" w:styleId="14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image" Target="media/image6.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 Id="rId1" Type="http://schemas.openxmlformats.org/officeDocument/2006/relationships/image" Target="media/image4.jpg"/></Relationships>
</file>

<file path=word/_rels/header5.xml.rels><?xml version="1.0" encoding="UTF-8" standalone="yes"?><Relationships xmlns="http://schemas.openxmlformats.org/package/2006/relationships"><Relationship Id="rId1" Type="http://schemas.openxmlformats.org/officeDocument/2006/relationships/image" Target="media/image5.jp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叶</dc:creator>
  <cp:lastModifiedBy>叶蕾</cp:lastModifiedBy>
  <cp:revision>7</cp:revision>
  <dcterms:created xsi:type="dcterms:W3CDTF">2022-05-30T08:03:00Z</dcterms:created>
  <dcterms:modified xsi:type="dcterms:W3CDTF">2025-12-04T08:38:14Z</dcterms:modified>
</cp:coreProperties>
</file>